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8G.127/2003 vom 27. Januar 2004</w:t>
      </w:r>
    </w:p>
    <w:p>
      <w:r>
        <w:t>Bundesgericht, 2004-01-27, FR</w:t>
      </w:r>
    </w:p>
    <w:p>
      <w:r>
        <w:rPr>
          <w:b/>
        </w:rPr>
        <w:t xml:space="preserve">Quelle: </w:t>
      </w:r>
      <w:r>
        <w:t>https://mcp.opencaselaw.ch/entscheid/bger_8G.127_2003</w:t>
      </w:r>
    </w:p>
    <w:p>
      <w:r>
        <w:t>FR: TF 8G.127/2003 du 27 janvier 2004</w:t>
      </w:r>
    </w:p>
    <w:p>
      <w:r>
        <w:t>IT: TF 8G.127/2003 del 27 gennaio 2004</w:t>
      </w:r>
    </w:p>
    <w:p>
      <w:pPr>
        <w:pStyle w:val="Heading2"/>
      </w:pPr>
      <w:r>
        <w:t>Regeste</w:t>
      </w:r>
    </w:p>
    <w:p>
      <w:r>
        <w:t>Questions de compétences, garantie du juge du domicile et du ...</w:t>
      </w:r>
    </w:p>
    <w:p>
      <w:pPr>
        <w:pStyle w:val="Heading2"/>
      </w:pPr>
      <w:r>
        <w:t>Erwägungen</w:t>
      </w:r>
    </w:p>
    <w:p>
      <w:r>
        <w:rPr>
          <w:b/>
        </w:rPr>
        <w:t>E. 1</w:t>
      </w:r>
    </w:p>
    <w:p>
      <w:r>
        <w:t>Le détenu est soupçonné d'actes délictueux commis en partie alors qu'il était encore un adolescent et en partie peu après avoir atteint l'âge de 18 ans révolus. Dès lors, la contestation au sujet du for doit être tranchée par la Chambre d'accusation du Tribunal fédéral, non pas par le Conseil fédéral dont la compétence est prévue à l' art. 372 ch. 1 al. 3 CP pour les causes concernant les enfants et les adolescents ( ATF 96 IV 23 consid. 1 et la jurisprudence citée).</w:t>
      </w:r>
    </w:p>
    <w:p>
      <w:r>
        <w:rPr>
          <w:b/>
        </w:rPr>
        <w:t>E. 2</w:t>
      </w:r>
    </w:p>
    <w:p>
      <w:r>
        <w:t>Selon l'article 1 al. 2 OCP1 (RS 311.01), si un délinquant s'est rendu coupable d'infractions pour partie avant d'avoir atteint l'âge de 18 ans révolus et pour partie après, la procédure prévue à l'égard des adultes est applicable; si l'instruction est ouverte avant qu'il n'ait atteint l'âge de 20 ans révolus, et qu'une mesure prévue par le droit pénal des mineurs doive vraisemblablement être ordonnée, la procédure prévue à l'égard des adolescents pourra être appliquée. La détermination de la compétence locale constitue une question de procédure à résoudre selon les art. 346 à 350 CP ou, en cas de mesure vraisemblable fondée sur le droit pénal des mineurs, selon l' art. 372 CP . L'autorité compétente devra choisir la solution qui conviendra le mieux aux circonstances du cas ( ATF 107 IV 77 consid. 1).</w:t>
      </w:r>
    </w:p>
    <w:p>
      <w:r>
        <w:rPr>
          <w:b/>
        </w:rPr>
        <w:t>E. 3.1</w:t>
      </w:r>
    </w:p>
    <w:p>
      <w:r>
        <w:t>En l'espèce, il est incontesté qu'une part des actes reprochés au prévenu aurait été commise pour partie avant d'avoir atteint l'âge de 18 ans et pour partie après. La procédure prévue à l'égard des adultes est ainsi applicable sauf si les deux autres conditions cumulatives de la seconde partie de l'article 1, al. 2 de l'OCP1 sont réunies; il s'agit de l'ouverture de l'instruction avant que l'intéressé n'ait atteint l'âge de 20 ans révolus et de la perspective vraisemblable d'une mesure prévue par le droit pénal des mineurs. Ici, l'instruction en cause a été ouverte en été 2003, alors que l'intéressé, né au mois de janvier 1985, n'avait pas atteint l'âge de 20 ans révolus. La première condition est ainsi réalisée. Quant à la seconde, elle appelle les considérations qui suivent.</w:t>
      </w:r>
    </w:p>
    <w:p>
      <w:r>
        <w:rPr>
          <w:b/>
        </w:rPr>
        <w:t>E. 3.2</w:t>
      </w:r>
    </w:p>
    <w:p>
      <w:r>
        <w:t>Les charges relatives aux atteintes à l'intégrité sexuelle sont graves. Elles reposent sur les déclarations de la victime et des témoignages indirects. Le prévenu a déjà été déclaré coupable, alors qu'il était mineur, d'actes de cette nature. A cela s'ajoutent les infractions dont il se serait fait l'auteur à l'occasion de son évasion ainsi que d'autres actes délictueux, de moindre gravité (déplacements en train sans titres de transport). Dans ces circonstances, une mesure prévue par le droit pénal des mineurs ne paraît pas devoir être ordonnée par l'autorité qui sera désignée pour juger le prévenu. Certes, seule une petite partie des atteintes à l'intégrité sexuelle semble avoir été commise après qu'il fut parvenu à sa majorité; mais le fait qu'elles se seraient produites alors que le délinquant bénéficiait précisément d'un placement dans un foyer, ordonné par le Tribunal de la jeunesse genevois, laisse entendre qu'il n'est pas réceptif à ce genre de mesures éducatives. De plus, ce tribunal estime lui-même qu'une peine privative de liberté, sans sursis, s'impose, vu l'échec des mesures éducatives. Dès lors, la Chambre de céans considère que la seconde condition de l'article 1, al. 2 de l'OCP1 (dernière partie) n'est pas réalisée, car il n'est pas vraisemblable qu'une mesure prévue par le droit pénal des mineurs doive être ordonnée. Ainsi, s'agissant de la désignation du for intercantonal, ce sont les règles de la procédure applicable aux adultes qui prévalent. On doit préciser que, nonobstant l'appréciation de la Chambre de céans, la juridiction qui sera finalement désignée sera libre de prononcer ou non une mesure relevant du droit pénal des mineurs (Schweri, Interkantonale Gerichtsstandsbestimmung in Strafsachen, Berne 1987 p. 109 n. 327).</w:t>
      </w:r>
    </w:p>
    <w:p>
      <w:r>
        <w:rPr>
          <w:b/>
        </w:rPr>
        <w:t>E. 4</w:t>
      </w:r>
    </w:p>
    <w:p>
      <w:r>
        <w:t>Les règles de la procédure à l'égard des adultes en matière de conflit de for prévoient notamment que l'autorité compétente pour la poursuite et le jugement d'une infraction est celle du lieu où l'auteur a agi ( art. 346 al. 1 CP ). En l'espèce, il est incontesté que le prévenu est soupçonné d'avoir agi, au moins pour l'essentiel, dans le canton du Jura. Il n'est pas allégué que l'un ou l'autre des actes délictueux en cause se soit produit sur territoire genevois. Il s'ensuit que les autorités jurassiennes doivent être déclarées compétentes.</w:t>
      </w:r>
    </w:p>
    <w:p>
      <w:r>
        <w:rPr>
          <w:b/>
        </w:rPr>
        <w:t>E. 5</w:t>
      </w:r>
    </w:p>
    <w:p>
      <w:r>
        <w:t>L'un des arguments du Procureur général du canton du Jura est fondé sur les difficultés d'accès au dossier du Tribunal de la jeunesse de Genève, qui fait valoir des règles cantonales sur la confidentialité. En application de l' art. 352 CP , qui prévoit l'entraide judiciaire entre cantons, de telles limitations ne sauraient valoir dans une cause entraînant, comme ici, l'application du Code pénal. Le Procureur général du canton de Genève s'est d'ailleurs exprimé dans ce sens.</w:t>
      </w:r>
    </w:p>
    <w:p>
      <w:r>
        <w:rPr>
          <w:b/>
        </w:rPr>
        <w:t>E. 6</w:t>
      </w:r>
    </w:p>
    <w:p>
      <w:r>
        <w:t>La requête est ainsi rejetée. Il n'y a pas lieu de percevoir un émolument judiciaire.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