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8F_9/2013 vom 15. Oktober 2013</w:t>
      </w:r>
    </w:p>
    <w:p>
      <w:r>
        <w:t>Bundesgericht, 2013-10-15, DE</w:t>
      </w:r>
    </w:p>
    <w:p>
      <w:r>
        <w:rPr>
          <w:b/>
        </w:rPr>
        <w:t xml:space="preserve">Quelle: </w:t>
      </w:r>
      <w:r>
        <w:t>https://mcp.opencaselaw.ch/entscheid/bger_8F_9_2013</w:t>
      </w:r>
    </w:p>
    <w:p>
      <w:r>
        <w:t>FR: TF 8F_9/2013 du 15 octobre 2013</w:t>
      </w:r>
    </w:p>
    <w:p>
      <w:r>
        <w:t>IT: TF 8F_9/2013 del 15 ottobre 2013</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Die Revision dient insbesondere nicht dazu, Fehler und Unterlassungen der Prozessparteien nachträglich korrigieren zu können (vgl. etwa Spühler/Dolge/Vock, Kurzkommentar zum Bundesgerichtsgesetz [BGG], 2006, N. 5 zu Art. 121 BGG ; Elisabeth Escher, in: Basler Kommentar, Bundesgerichtsgesetz, 2. Aufl. 2011, N. 9 zu Art. 121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8F_9/2009 vom 2. Juni 2009 E. 3.1).</w:t>
      </w:r>
    </w:p>
    <w:p>
      <w:r>
        <w:rPr>
          <w:b/>
        </w:rPr>
        <w:t>E. 1.2</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Es genügt z. B. nicht, dass ein neues Gutachten den Sachverhalt anders wertet; vielmehr bedarf es neuer Elemente tatsächlicher Natur, welche die Entscheidungsgrundlagen als objektiv mangelhaft erscheinen lassen ( BGE 127 V 353 E. 5b S. 358 mit Hinweisen).</w:t>
      </w:r>
    </w:p>
    <w:p>
      <w:r>
        <w:rPr>
          <w:b/>
        </w:rPr>
        <w:t>E. 1.3</w:t>
      </w:r>
    </w:p>
    <w:p>
      <w:r>
        <w:t>Das Revisionsgesuch ist gemäss Art. 124 Abs. 1 lit. d BGG innert 90 Tagen nach der Entdeckung des Revisionsgrundes, frühestens nach der Eröffnung der vollständigen Ausfertigung des Entscheids einzureichen.</w:t>
      </w:r>
    </w:p>
    <w:p>
      <w:r>
        <w:rPr>
          <w:b/>
        </w:rPr>
        <w:t>E. 2</w:t>
      </w:r>
    </w:p>
    <w:p>
      <w:r>
        <w:t>Mit Urteil 8C_357/2012 vom 17. August 2012 war vor Bundesgericht nur noch über die strittig gebliebene Höhe des Anspruchs auf eine Invalidenrente nach UVG zu entscheiden (Urteil 8C_357/2012 vom 17. August 2012 E. 2), nachdem das Versicherungsgericht des Kantons St. Gallen mit seinem - insoweit vor Bundesgericht nicht angefochtenen - Entscheid vom 7. März 2012 die Sache hinsichtlich des Anspruchs auf Integritätsentschädigung bereits zur umfassenden medizinischen Beurteilung des Integritätsschadens an die Gesuchsgegnerin zurückgewiesen hatte. Während laut erster Integritätsschadenschätzung gemäss interdisziplinärer Expertise der medizinischen Begutachtungsstelle des medizinischen Instituts Z.________ vom 19. Juli 2010 (nachfolgend: Gutachten des medizinischen Instituts Z.________) die aus einer mässigen bis schweren Femoropatellararthrose resultierende Integritätseinbusse auf 10 % festgesetzt wurde, berücksichtigte Dr. med. B.________ in seinem Gutachten vom 17. Januar 2013 neben der Femoropatellararthrose neu zusätzlich eine lateralbetonte Femorotibi alarthrose (zusammen 25 %), eine Achsenfehlstellung der Ulna (5 %) sowie eine Pseudarthrose an der Clavicula (10 %), weshalb er die Integritätseinbusse gesamthaft auf 40 % taxierte.</w:t>
      </w:r>
    </w:p>
    <w:p>
      <w:r>
        <w:rPr>
          <w:b/>
        </w:rPr>
        <w:t>E. 3.1</w:t>
      </w:r>
    </w:p>
    <w:p>
      <w:r>
        <w:t>Soweit die Gesuchstellerin neue medizinische Tatsachenfeststellungen aus den beiden neu aufgelegten, erst nach Erlass des vermeintlich in Revision zu ziehenden Urteils 8C_357/2012 vom 17. August 2012 entstandenen Arztberichten vom 17. Januar 2013 und 5. Mai 2013 ableitet, kann weiterhin offenbleiben, ob in den nach dem fraglichen Urteil angefertigten medizinischen Unterlagen ein revisionsrechtlich zulässiges neues Beweismittel gemäss Art. 123 Abs. 2 lit. a BGG betrachtet werden kann (Urteil 4A_144/2010 vom 28. September 2010 E. 2.2; vgl. auch Urteil 9F_9/2007 vom 15. September 2008 E. 3). Denn wie im Folgenden aufzuzeigen ist, fehlt es den darin dargelegten Tatsachen jedenfalls an revisionsrechtlicher Erheblichkeit (vgl. E. 1.2 hievor).</w:t>
      </w:r>
    </w:p>
    <w:p>
      <w:r>
        <w:rPr>
          <w:b/>
        </w:rPr>
        <w:t>E. 3.2.1</w:t>
      </w:r>
    </w:p>
    <w:p>
      <w:r>
        <w:t>Allein aus der Tatsache, dass Dr. med. B.________ in seinem Gutachten vom 17. Januar 2013 zwecks Neubeurteilung des Integritätsschadens weiteren gesundheitlichen Beeinträchtigungen (vgl. hievor E. 2 i.f.) über diejenigen hinaus, welche bereits Gegenstand der Integritätsschätzung gemäss Gutachten des medizinischen Instituts Z.________ waren, einen anspruchserheblichen Einfluss auf die Integritätsentschädigung beimass, folgt - entgegen der sinngemässen Darstellung der Gesuchstellerin - keine direkt ursächliche Erhöhung der im Hauptverfahren abschliessend beurteilten unfallbedingten Einschränkung der Leistungsfähigkeit und des darauf basierenden Rentenanspruchs nach UVG. Das Gutachten des Dr. med. B.________ wurde vielmehr deshalb erstellt, weil im Hauptverfahren die Unvollständigkeit der Integritätsschadenbeurteilung gemäss Gutachten des medizinischen Instituts Z.________ erkannt und die Sache - ausschliesslich aus diesem Grund - zur medizinischen Neubeurteilung an die Gesuchsgegnerin zurückgewiesen worden war. Dr. med. B.________ äusserte sich im genannten Gutachten denn auch auftragsgemäss mit keinem Wort zur Arbeitsunfähigkeit, welche die Gesuchstellerin als Folge der ihr dauerhaft verbleibenden unfallbedingten Beeinträchtigung der gesundheitlichen Unversehrtheit davon trägt.</w:t>
      </w:r>
    </w:p>
    <w:p>
      <w:r>
        <w:rPr>
          <w:b/>
        </w:rPr>
        <w:t>E. 3.2.2</w:t>
      </w:r>
    </w:p>
    <w:p>
      <w:r>
        <w:t>In keiner einzigen ihrer drei Eingaben vor Bundesgericht legt die Gesuchstellerin dar, in welchem Ausmass die gemäss Urteil 8C_357/2012 vom 17. August 2012 E. 5.2.2 gestützt auf das Gutachten des medizinischen Instituts Z.________ festgestellte Arbeitsunfähigkeit infolge der angeblich neu entdeckten Tatsachen revisionsweise angepasst werden müsse. Auch den neu aufgelegten Beweismitteln sind keine solchen Angaben zu entnehmen.</w:t>
      </w:r>
    </w:p>
    <w:p>
      <w:r>
        <w:rPr>
          <w:b/>
        </w:rPr>
        <w:t>E. 3.2.3</w:t>
      </w:r>
    </w:p>
    <w:p>
      <w:r>
        <w:t>Mit der Gesuchsgegnerin ist schliesslich festzuhalten, dass das Gutachten des medizinischen Instituts Z.________ bereits allen relevanten - also auch den vermeintlich neuen - medizinischen Tatsachenfeststellungen (vgl. hievor E. 2 i.f.) im Rahmen der abschliessenden interdisziplinären Gesamtbeurteilung der trotz sämtlicher Unfallrestfolgen zumutbaren Arbeitsfähigkeit Rechnung getragen hat. Wie bereits im Hauptverfahren (vgl. Urteil 8C_357/2012 vom 17. August 2012 E. 4.2) versucht die Gesuchstellerin auch hier, eine Addition der mit Bezug auf einzelne Funktionsstörungen und Beschwerdebilder geschätzten Arbeitsunfähigkeitsgrade zu erwirken, was jedoch nicht zulässig ist (Urteil 8C_548/2013 vom 3. Oktober 2013 E. 5.2.2 mit Hinweisen).</w:t>
      </w:r>
    </w:p>
    <w:p>
      <w:r>
        <w:rPr>
          <w:b/>
        </w:rPr>
        <w:t>E. 3.2.4</w:t>
      </w:r>
    </w:p>
    <w:p>
      <w:r>
        <w:t>Nach dem Gesagten liegt mangels Erheblichkeit der geltend gemachten - vermeintlich neuen - medizinischen Tatsachenfeststellungen hinsichtlich der unfallbedingten Arbeitsunfähigkeit ungeachtet der offengelassenen Frage betreffend revisionsrechtlicher Zulässigkeit der angerufenen neuen Beweismittel kein Revisionsgrund im Sinne von Art. 123 Abs. 2 lit. a BGG vor. Das Revisionsgesuch ist folglich als unbegründet abzuweisen.</w:t>
      </w:r>
    </w:p>
    <w:p>
      <w:r>
        <w:rPr>
          <w:b/>
        </w:rPr>
        <w:t>E. 4</w:t>
      </w:r>
    </w:p>
    <w:p>
      <w:r>
        <w:t>Nicht Gegenstand dieses Verfahrens bildete jedoch die Frage, ob sich die unfallbedingten Gesundheitsschäden, welche sich zumindest in Teilen nach übereinstimmender Beurteilung gemäss Gutachten des medizinischen Instituts Z.________ und den Ausführungen des Dr. med. B.________ progredient entwickeln, seit den Untersuchungsergebnissen vom Mai 2010, welche dem Gutachten des medizinischen Instituts Z.________ und damit auch der im Hauptverfahren zugesprochenen Invalidenrente aufgrund einer unfallbedingten Erwerbseinbusse von 15 % zugrunde lagen, zwischenzeitlich in einem anspruchsrelevanten Ausmass im Sinne von Art. 17 ATSG verändert haben.</w:t>
      </w:r>
    </w:p>
    <w:p>
      <w:r>
        <w:rPr>
          <w:b/>
        </w:rPr>
        <w:t>E. 5</w:t>
      </w:r>
    </w:p>
    <w:p>
      <w:r>
        <w:t>Die Gerichtskosten ( Art. 65 BGG ) werden der Gesuchstellerin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