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8F_7/2020 vom 13. Mai 2020</w:t>
      </w:r>
    </w:p>
    <w:p>
      <w:r>
        <w:t>Bundesgericht, 2020-05-13, DE</w:t>
      </w:r>
    </w:p>
    <w:p>
      <w:r>
        <w:rPr>
          <w:b/>
        </w:rPr>
        <w:t xml:space="preserve">Quelle: </w:t>
      </w:r>
      <w:r>
        <w:t>https://mcp.opencaselaw.ch/entscheid/bger_8F_7_2020</w:t>
      </w:r>
    </w:p>
    <w:p>
      <w:r>
        <w:t>FR: TF 8F_7/2020 du 13 mai 2020</w:t>
      </w:r>
    </w:p>
    <w:p>
      <w:r>
        <w:t>IT: TF 8F_7/2020 del 13 maggio 2020</w:t>
      </w:r>
    </w:p>
    <w:p>
      <w:pPr>
        <w:pStyle w:val="Heading2"/>
      </w:pPr>
      <w:r>
        <w:t>Erwägungen</w:t>
      </w:r>
    </w:p>
    <w:p>
      <w:r>
        <w:rPr>
          <w:b/>
        </w:rPr>
        <w:t>E. 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nach Art. 121 ff. BGG gegeben ist. Der Gesuchsteller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das heisst,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5F_11/2019 vom 25. Oktober 2019 E. 2 mit Hinweisen). Das Revisionsgesuch ist unter Beachtung der gesetzlichen Fristen gemäss Art. 124 BGG einzureichen.</w:t>
      </w:r>
    </w:p>
    <w:p>
      <w:r>
        <w:rPr>
          <w:b/>
        </w:rPr>
        <w:t>E. 2.1</w:t>
      </w:r>
    </w:p>
    <w:p>
      <w:r>
        <w:t>Der Gesuchsteller nimmt im Revisionsgesuch nicht ausdrücklich auf einen Revisionsgrund Bezug (siehe auch E. 2.3 hiernach). Er macht im Wesentlichen geltend, das beanstandete bundesgerichtliche Urteil vom 22. Oktober 2019 sei unhaltbar, weil es eine widersprüchliche Begründung, eine mangelhafte Abklärung sowie eine willkürliche Sachverhaltsfeststellung und Beweiswürdigung enthalte. Das Bundesgericht habe sich auf seine beschwerdeweise vorgebrachten Argumente nicht vollständig eingelassen. Zudem enthalte sein Urteil Schreibfehler, indem in E. 5.1 das Unfalldatum mit 29. Oktober 2019 statt 29. Oktober 2016 angegeben worden sei.</w:t>
      </w:r>
    </w:p>
    <w:p>
      <w:r>
        <w:rPr>
          <w:b/>
        </w:rPr>
        <w:t>E. 2.2</w:t>
      </w:r>
    </w:p>
    <w:p>
      <w:r>
        <w:t>Soweit der Gesuchsteller mit seinen Vorbringen - wenn auch nicht substanziiert, so doch zumindest sinngemäss - eine Verletzung von Verfahrensvorschriften nach Art. 121 lit. c und lit. d BGG geltend macht, erfolgt dies nicht fristgemäss.</w:t>
      </w:r>
    </w:p>
    <w:p>
      <w:r>
        <w:t>In diesen Fällen ist das Revisionsgesuch nämlich innert 30 Tagen nach der Eröffnung der vollständigen Ausfertigung des Entscheids einzureichen ( Art. 124 Abs. 1 lit. b BGG ). Das bundesgerichtliche Urteil vom 22. Oktober 2019 wurde dem damaligen Rechtsvertreter des Gesuchstellers am 25. Oktober 2019 zugestellt. Nicht stichhaltig ist der Einwand des Gesuchstellers, das Bundesgericht hätte ein Urteilsexemplar auch ihm persönlich zustellen müssen. Ist nämlich ein rechtmässiger Vertreter bestellt und der Behörde bekanntgegeben worden, ist das gerichtliche Schriftstück diesem zuzustellen, solange die Partei die Vollmacht nicht schriftlich widerruft. Dieser Grundsatz dient im Interesse der Rechtssicherheit dazu, allfällige Zweifel darüber von vornherein zu beseitigen, ob die Mitteilungen an die Partei selber oder an ihre Vertretung zu erfolgen haben. Wurde die Mitteilung dem Rechtsvertreter tatsächlich zugestellt, wirkt nur dies fristauslösend. Die zusätzliche (frühere oder spätere) Zustellung einer Orientierungskopie an die Partei ist für die Fristauslösung unbeachtlich ( BGE 99 V 177 E. 3 S. 182; Urteil 9C_460/2016 vom 10. Januar 2017 E. 2.2; AMSTUTZ/ARNOLD, Basler Kommentar zum BGG, 3. Auflage 2018, N. 12 zu Art. 44 BGG ). Gilt die Urteilszustellung an den Rechtsvertreter des Gesuchstellers vom 22. Oktober 2019 als fristauslösend, ist das erst am 3. April 2020 der Post übergebene Revisionsgesuch auf jeden Fall verspätet.</w:t>
      </w:r>
    </w:p>
    <w:p>
      <w:r>
        <w:rPr>
          <w:b/>
        </w:rPr>
        <w:t>E. 2.3</w:t>
      </w:r>
    </w:p>
    <w:p>
      <w:r>
        <w:t>Andere Revisionsgründe sind aufgrund der Ausführungen des Gesuchstellers nicht erkennbar. Der Umstand, dass E. 5.1 des beanstandeten Urteils einen offensichtlichen Verschrieb hinsichtlich des Unfalldatums enthält, ist zwar zu bedauern, stellt aber keinen revisionsrelevanten Mangel dar (vgl. die abschliessende Aufzählung der Revisionsgründe in Art. 121 ff. BGG ).</w:t>
      </w:r>
    </w:p>
    <w:p>
      <w:r>
        <w:rPr>
          <w:b/>
        </w:rPr>
        <w:t>E. 2.4</w:t>
      </w:r>
    </w:p>
    <w:p>
      <w:r>
        <w:t>Die übrige Kritik des Gesuchstellers läuft inhaltlich auf eine Neubeurteilung bzw. Wiedererwägung des beanstandeten Urteils hinaus. Damit verkennt er jedoch, dass die Revision der gesuchstellenden Person nicht die Möglichkeit eröffnet, einen Entscheid, den sie für unrichtig hält, neu beurteilen zu lassen respektive dessen Wiedererwägung zu verlangen (vgl. E. 1 hiervor; siehe auch BGE 122 II 17 E. 3 S. 18 f.; Urteile 9F_7/2018 vom 25. September 2018 E. 2.2.3 und 6F_21/2018 vom 22. August 2018 E. 3).</w:t>
      </w:r>
    </w:p>
    <w:p>
      <w:r>
        <w:rPr>
          <w:b/>
        </w:rPr>
        <w:t>E. 2.5</w:t>
      </w:r>
    </w:p>
    <w:p>
      <w:r>
        <w:t>Nach dem Gesagten ist auf das Gesuch mangels frist- und formgerechter Geltendmachung eines Revisionsgrundes nicht einzutreten.</w:t>
      </w:r>
    </w:p>
    <w:p>
      <w:r>
        <w:rPr>
          <w:b/>
        </w:rPr>
        <w:t>E. 3</w:t>
      </w:r>
    </w:p>
    <w:p>
      <w:r>
        <w:t>Bei diesem Verfahrensausgang sind die Gerichtskosten dem Gesuchsteller aufzuerlegen (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