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8F_4/2009 vom 24. August 2009</w:t>
      </w:r>
    </w:p>
    <w:p>
      <w:r>
        <w:t>Bundesgericht, 2009-08-24, DE</w:t>
      </w:r>
    </w:p>
    <w:p>
      <w:r>
        <w:rPr>
          <w:b/>
        </w:rPr>
        <w:t xml:space="preserve">Quelle: </w:t>
      </w:r>
      <w:r>
        <w:t>https://mcp.opencaselaw.ch/entscheid/bger_8F_4_2009</w:t>
      </w:r>
    </w:p>
    <w:p>
      <w:r>
        <w:t>FR: TF 8F_4/2009 du 24 août 2009</w:t>
      </w:r>
    </w:p>
    <w:p>
      <w:r>
        <w:t>IT: TF 8F_4/2009 del 24 agosto 2009</w:t>
      </w:r>
    </w:p>
    <w:p>
      <w:pPr>
        <w:pStyle w:val="Heading2"/>
      </w:pPr>
      <w:r>
        <w:t>Erwägungen</w:t>
      </w:r>
    </w:p>
    <w:p>
      <w:r>
        <w:rPr>
          <w:b/>
        </w:rPr>
        <w:t>E. 1.1</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8F_2/2008 vom 4. September 2008, E. 3.1).</w:t>
      </w:r>
    </w:p>
    <w:p>
      <w:r>
        <w:rPr>
          <w:b/>
        </w:rPr>
        <w:t>E. 1.2</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Als in diesem Sinne neu gelten Tatsachen, welche sich bis zum Zeitpunkt, da im Hauptverfahren noch tatsächliche Vorbringen prozessual zulässig waren, verwirklicht haben, jedoch der um Revision ersuchenden Partei trotz hinreichender Sorgfalt nicht bekannt waren. Nach der Rechtsprechung sind Tatsachen erheblich, die geeignet sind, die tatbeständliche Grundlage eines ergangenen Urteils zu verändern und bei zutreffender rechtlicher Würdigung zu einem anderen Ergebnis zu führen (vgl. BGE 118 II 199 E. 5 S. 204 f. mit Hinweis; Urteil 9F_9/2007 vom 15. September 2008, E. 2.2).</w:t>
      </w:r>
    </w:p>
    <w:p>
      <w:r>
        <w:rPr>
          <w:b/>
        </w:rPr>
        <w:t>E. 2.1</w:t>
      </w:r>
    </w:p>
    <w:p>
      <w:r>
        <w:t>Die Gesuchstellerin ruft den Revisionsgrund von Art. 123 Abs. 2 lit. a BGG an, was sie sinngemäss damit begründet, dass in dem von Prof. Dr. med. R.________ laut Stellungnahme vom 2. Februar 2009 erhobenen Befund am linken Iliosakralgelenk eine organische Schädigung zu erblicken sei. Im Revisionsgesuch wird aber nicht begründet, weshalb diese - als erst nachträglich erfahrene erhebliche Tatsache gewertete - gesundheitliche Beeinträchtigung Anlass zu einer Änderung des bundesgerichtlichen Urteils vom 2. Dezember 2008 geben sollte, in welchem ein weiterer Leistungsanspruch mangels adäquater Unfallkausalität der noch vorhandenen Beschwerden verneint wurde. Insbesondere wird nicht einmal versucht, einen kausalen Zusammenhang dieser Schädigung mit dem versicherten Unfallereignis vom 29. Januar 2004 herzustellen und detailliert zu begründen. Ein solcher ergibt sich auch nicht aus dem Bericht des Prof. Dr. med. R.________ vom 2. Februar 2009. Die blosse Behauptung einer unfallbedingten organischen Schädigung ohne konkrete Bezugnahme auf einen die geltend gemachte Leistungspflicht des Versicherers allenfalls begründenden Zusammenhang mit dem versicherten Unfallereignis genügt den Anforderungen an die rechtsgenügliche Begründung eines Revisionsgesuchs nicht (E. 1.1 hievor). Auf das ergriffene Rechtsmittel kann daher nicht eingetreten werden.</w:t>
      </w:r>
    </w:p>
    <w:p>
      <w:r>
        <w:rPr>
          <w:b/>
        </w:rPr>
        <w:t>E. 2.2</w:t>
      </w:r>
    </w:p>
    <w:p>
      <w:r>
        <w:t>Aber auch wenn die Begründung der eingereichten Rechtsschrift noch als genügend zu betrachten wäre, könnte der Gesuchstellerin kaum Erfolg beschieden sein, erwähnt doch Prof. Dr. med. R._______ selbst, dass schon ein im März 2004 veranlasstes MRI eine entzündliche Reaktion im Bereich des linken Iliosakralgelenks gezeigt hätte, deretwegen es zu physiotherapeutischen und osteopathischen Therapien gekommen sei. Als neu könnte der nunmehr erhobene Befund daher kaum mehr gelten. Abgesehen davon scheint Prof. Dr. med. R.________ die erkannte Problematik am Iliosakralgelenk ohnehin als eher degenerativer Art zu betrachten, was doch erhebliche Zweifel an deren Unfallkausalität aufkommen lassen dürfte. Unter diesen Umständen könnten die von Prof. Dr. med. R.________ erhobenen Befunde kaum als im Sinne von Art. 123 Abs. 2 lit. a BGG erhebliche neue Tatsachen anerkannt werden (vgl. E. 1.2 hievor).</w:t>
      </w:r>
    </w:p>
    <w:p>
      <w:r>
        <w:rPr>
          <w:b/>
        </w:rPr>
        <w:t>E. 3</w:t>
      </w:r>
    </w:p>
    <w:p>
      <w:r>
        <w:t>Bei diesem Verfahrensausgang sind die Gerichtskosten von der Gesuchstellerin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