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8F_15/2015 vom 7. Dezember 2015</w:t>
      </w:r>
    </w:p>
    <w:p>
      <w:r>
        <w:t>Bundesgericht, 2015-12-07, DE</w:t>
      </w:r>
    </w:p>
    <w:p>
      <w:r>
        <w:rPr>
          <w:b/>
        </w:rPr>
        <w:t xml:space="preserve">Quelle: </w:t>
      </w:r>
      <w:r>
        <w:t>https://mcp.opencaselaw.ch/entscheid/bger_8F_15_2015</w:t>
      </w:r>
    </w:p>
    <w:p>
      <w:r>
        <w:t>FR: TF 8F_15/2015 du 7 décembre 2015</w:t>
      </w:r>
    </w:p>
    <w:p>
      <w:r>
        <w:t>IT: TF 8F_15/2015 del 7 dicembre 2015</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(SVR 2014 UV Nr. 22 S. 70, Urteil 8F_14/2013 vom 11. Februar 2014 E. 1.1).</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w:t>
      </w:r>
    </w:p>
    <w:p>
      <w:r>
        <w:rPr>
          <w:b/>
        </w:rPr>
        <w:t>E. 1.3</w:t>
      </w:r>
    </w:p>
    <w:p>
      <w:r>
        <w:t>Neue Tatsachen sind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andern Entscheidung zu führen (SVR 2014 UV Nr. 22 S. 70, Urteil 8F_14/2013 E. 1.2; Urteil 9F_7/2008 vom 9. September 2008 E. 2.2; Seiler/von Werdt/Güngerich, Bundesgerichtsgesetz, Bern 2007, N 7 zu Art. 123).</w:t>
      </w:r>
    </w:p>
    <w:p>
      <w:r>
        <w:rPr>
          <w:b/>
        </w:rPr>
        <w:t>E. 1.4</w:t>
      </w:r>
    </w:p>
    <w:p>
      <w:r>
        <w:t>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(zum analogen Art. 137 lit. b OG ergangene, gemäss BGE 134 III 45 E. 2.1 S. 47 weiterhin gültige Rechtsprechung: BGE 110 V 138 E. 2 S. 141; 108 V 170 E. 1 S. 171 f.; 99 V 189 E. 1 S. 191; in BGE 134 III 286 nicht publizierte E. 4.1 des Urteils 4A_42/2008 vom 14. März 2008; SVR 2014 UV Nr. 22 S. 70, Urteil 8F_14/2013 E. 1.2; Urteil 8C_797/2011 vom 15. Februar 2012 E. 3.2).</w:t>
      </w:r>
    </w:p>
    <w:p>
      <w:r>
        <w:rPr>
          <w:b/>
        </w:rPr>
        <w:t>E. 2</w:t>
      </w:r>
    </w:p>
    <w:p>
      <w:r>
        <w:t>Bei dem ins Recht gelegten Gutachten der Universität C.________ vom 14. August 2015 handelt es sich um ein echtes Novum. Eine Revision gestützt darauf ist ausgeschlossen. Die Beschwerdeführerin macht geltend, dass schon zum Zeitpunkt des bundesgerichtlichen Urteils vom 29. September 2011, um dessen Revision ersucht wird, eine Arbeitsunfähigkeit bestanden habe, welche jedoch erst mit dem neuen Gutachten und nach der Praxisänderung gemäss BGE 141 V 281 zu beweisen sei. Das neue Gutachten erschöpft sich jedoch in einer anderen Beurteilung der Beschwerden, es bezieht sich daher einzig auf die Sachverhaltswürdigung des Hauptverfahrens. Diese könnte indessen selbst durch ein an sich zulässiges neues Beweismittel nicht in Frage gestellt werden. Vielmehr müsste dieses die Sachverhaltsermittlung betreffen. Konkret müssten (damals allein in Betracht fallende) unfallkausale, im Hauptverfahren unerkannte und unerkennbare gesundheitliche, somit andere als die damals berücksichtigten Beeinträchtigungen und deren Auswirkungen auf die Arbeitsfähigkeit nachgewiesen werden. Das ist hier nicht der Fall. Es wird insbesondere nicht geltend gemacht, dass andere, neu entdeckte Beschwerden zu beurteilen wären. Vielmehr soll das neue Beweismittel zu einer neuen Beurteilung der nach wie vor gleichen Beschwerden und damit zu einer neuen, anderen Sachverhaltswürdigung herangezogen werden, was revisionsweise nicht zulässig ist. Die Berufung darauf, dass die Leistungsfähigkeit bei unverändertem Beschwerdebild mit dem neuen Gutachten anders zu beurteilen wäre, vermag zur Begründung des Revisionsgesuchs nicht zu genügen (vgl. auch Urteil 8C_590/2015 vom 24. November 2015, wonach die neue Rechtsprechung zu den somatoformen Schmerzstörungen für sich allein keinen Neuanmeldungs- beziehungsweise Revisionsgrund im Sinne von Art. 17 Abs. 1 ATSG darstellt).</w:t>
      </w:r>
    </w:p>
    <w:p>
      <w:r>
        <w:rPr>
          <w:b/>
        </w:rPr>
        <w:t>E. 3</w:t>
      </w:r>
    </w:p>
    <w:p>
      <w:r>
        <w:t>Das Verfahren ist kostenpflichtig ( Art. 65 BGG ). 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