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8F_12/2009 vom 18. Dezember 2009</w:t>
      </w:r>
    </w:p>
    <w:p>
      <w:r>
        <w:t>Bundesgericht, 2009-12-18, DE</w:t>
      </w:r>
    </w:p>
    <w:p>
      <w:r>
        <w:rPr>
          <w:b/>
        </w:rPr>
        <w:t xml:space="preserve">Quelle: </w:t>
      </w:r>
      <w:r>
        <w:t>https://mcp.opencaselaw.ch/entscheid/bger_8F_12_2009</w:t>
      </w:r>
    </w:p>
    <w:p>
      <w:r>
        <w:t>FR: TF 8F_12/2009 du 18 décembre 2009</w:t>
      </w:r>
    </w:p>
    <w:p>
      <w:r>
        <w:t>IT: TF 8F_12/2009 del 18 dicembre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Aufhebung oder Abänderung eines wie hier nach Art. 61 BGG in Rechtskraft erwachsenen Bundesgerichtsurteils ist nur bei Vorliegen eines Revisionsgrundes gemäss Art. 121 ff. BGG möglich.</w:t>
      </w:r>
    </w:p>
    <w:p>
      <w:r>
        <w:t>Einen solchen ruft der Gesuchsteller nicht ansatzweise an, weshalb auf das Gesuch ohne Durchführung eines Schriftenwechsels ( Art. 127 BGG ) nicht einzutreten ist.</w:t>
      </w:r>
    </w:p>
    <w:p>
      <w:r>
        <w:rPr>
          <w:b/>
        </w:rPr>
        <w:t>E. 2</w:t>
      </w:r>
    </w:p>
    <w:p>
      <w:r>
        <w:t>Obwohl die Verfahren vor dem Bundesgericht grundsätzlich kostenpflichtig sind, kann derweilen in Anwendung von Art. 66 Abs. 1 Satz 2 BGG nochmals wie im Verfahren 8C_631/2009 auf die Erhebung von Gerichtskosten verzichtet werden.</w:t>
      </w:r>
    </w:p>
    <w:p>
      <w:r>
        <w:rPr>
          <w:b/>
        </w:rPr>
        <w:t>E. 3</w:t>
      </w:r>
    </w:p>
    <w:p>
      <w:r>
        <w:t>Das Gericht behält sich vor, weitere gleichartige Eingaben in dieser Angelegenheit in Zukunft unbeantwortet abzulegen.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