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8F_11/2015 vom 15. Oktober 2015</w:t>
      </w:r>
    </w:p>
    <w:p>
      <w:r>
        <w:t>Bundesgericht, 2015-10-15, DE</w:t>
      </w:r>
    </w:p>
    <w:p>
      <w:r>
        <w:rPr>
          <w:b/>
        </w:rPr>
        <w:t xml:space="preserve">Quelle: </w:t>
      </w:r>
      <w:r>
        <w:t>https://mcp.opencaselaw.ch/entscheid/bger_8F_11_2015</w:t>
      </w:r>
    </w:p>
    <w:p>
      <w:r>
        <w:t>FR: TF 8F_11/2015 du 15 octobre 2015</w:t>
      </w:r>
    </w:p>
    <w:p>
      <w:r>
        <w:t>IT: TF 8F_11/2015 del 15 ottobre 2015</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Rechtskräftige Entscheide können - mit einer hier nicht interessierenden Ausnahme - einzig auf dem Weg der Revision im Sinne von Art. 121 ff. BGG aufgehoben werden (Urteil 8F_8/2014 vom 30. April 2015 E. 1 mit Hinweis auf: ELISABETH ESCHER, Basler Kommentar, Bundesgerichtsgesetz, 2. Aufl. 2011, N. 1 zu Art. 121 BGG ).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das Dispositiv des früheren Urteils abzuändern ist (Urteil 9F_7/2015 vom 27. Juli 2015 E. 1 mit Hinweis).</w:t>
      </w:r>
    </w:p>
    <w:p>
      <w:r>
        <w:rPr>
          <w:b/>
        </w:rPr>
        <w:t>E. 1.2.1</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in BGE 134 III 286 nicht publizierte E. 4.1 des bundesgerichtlichen Urteils 4A_42/2008 vom 14. März 2008).</w:t>
      </w:r>
    </w:p>
    <w:p>
      <w:r>
        <w:rPr>
          <w:b/>
        </w:rPr>
        <w:t>E. 1.2.2</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(Urteil 8F_9/2015 vom 18. August 2015; vgl. auch: BGE 127 V 353 E. 5b S. 358; Urteile 9C_955/2012 vom 13. Februar 2013 E. 3.3.1, 6B_404/2011 vom 2. März 2012 E. 2.2.2; 6B_539/2008 vom 8. Oktober 2008 E. 1.3; U 561/06 vom 28. Mai 2007 E. 6.2 [in SZS 2008 S. 159]; je mit Hinweisen).</w:t>
      </w:r>
    </w:p>
    <w:p>
      <w:r>
        <w:rPr>
          <w:b/>
        </w:rPr>
        <w:t>E. 2.1</w:t>
      </w:r>
    </w:p>
    <w:p>
      <w:r>
        <w:t>Der Entscheid des Sozialversicherungsgerichts des Kantons Zürich vom 29. November 2014 und das Urteil des Bundesgerichts vom 5. Mai 2015 beruhen im Wesentlichen auf dem Gerichtsgutachten des Dr. med. B.________, Facharzt FMH für Orthopädische Chirurgie und Traumatologie des Bewegungsapparates, Leitender Arzt an der Klinik C.________, vom 30. Juni 2014. Danach stehen die im Zeitpunkt des Fallabschlusses vom 12. Mai 2009 weiterhin geltend gemachten gesundheitlichen Beschwerden nicht mehr in einem rechtsgenüglichen natürlichen Kausalzusammenhang mit dem versicherten Unfall vom 17. Mai 2001.</w:t>
      </w:r>
    </w:p>
    <w:p>
      <w:r>
        <w:rPr>
          <w:b/>
        </w:rPr>
        <w:t>E. 2.2</w:t>
      </w:r>
    </w:p>
    <w:p>
      <w:r>
        <w:t>Der Gesuchsteller macht in seiner Eingabe vom 14. Juli 2015 den Revisionsgrund von Art. 123 Abs. 2 lit. a BGG geltend. Er bringt vor, mit einer am 18. April 2015 erfolgten Operation und dem darauf beruhenden ärztlichen Bericht samt Bilddokumentation des Dr. med. D.________, Facharzt für Orthopädische Chirurgie, vom 2. Juni 2015 könne nunmehr ein natürlicher Kausalzusammenhang zwischen den weiterhin bestehenden Beschwerden und dem versicherten Ereignis nachgewiesen werden.</w:t>
      </w:r>
    </w:p>
    <w:p>
      <w:r>
        <w:rPr>
          <w:b/>
        </w:rPr>
        <w:t>E. 2.3</w:t>
      </w:r>
    </w:p>
    <w:p>
      <w:r>
        <w:t>Die Vorbringen des Gesuchstellers zielen dahin, auf Grund des Berichts vom 2. Juni 2015 sei nunmehr bewiesen, dass eine Pseudarthrose (Knochenknorpelexzisate L5 rechts mit schweren arthrotischen und pseudoarthrotischen Veränderungen) vorliege. Diese sei auf den versicherten Unfall vom 17. Mai 2001 zurückzuführen und erkläre seine gesundheitlichen Beschwerden.</w:t>
      </w:r>
    </w:p>
    <w:p>
      <w:r>
        <w:rPr>
          <w:b/>
        </w:rPr>
        <w:t>E. 2.3.1</w:t>
      </w:r>
    </w:p>
    <w:p>
      <w:r>
        <w:t>Aus dem umfangreichen Gutachten des Dr. med. B.________ vom 30. Juni 2014 ergibt sich, dass das Vorliegen einer Pseudarthrose während der ganzen hier relevanten Krankengeschichte des Gesuchstellers thematisiert wurde. Daraus zeigt sich, dass eine Pseudarthrose bereits vor dem Unfall vom 17. Mai 2001 vorgelegen hatte (vgl. bspw. Gutachten der medizinischen Gutachterstelle E.________ vom 12. September 2006). Entgegen der Darstellung des Dr. med. D.________ kann daher mit dem von ihm anlässlich des Eingriffs vom 18. April 2015 gefundenen Knochenfragment der Beweis, dass der hier relevante Unfall vom Jahre 2001 zu einer Pseudarthrose geführt hat, nicht erbracht werden.</w:t>
      </w:r>
    </w:p>
    <w:p>
      <w:r>
        <w:rPr>
          <w:b/>
        </w:rPr>
        <w:t>E. 2.3.2</w:t>
      </w:r>
    </w:p>
    <w:p>
      <w:r>
        <w:t>Dr. med. D.________ begründet seine Kausalitätsbeurteilung weitgehend mit der seit dem Unfall eingetretenen Verschlechterung des Gesundheitszustandes und des Allgemeinbefindens ("ein Sturz mit fatalen beruflichen Folgen. ...Dieses [Unfall-]Datum führt zu einer richtungsweisenden und bis heute bestehenden massiven Beeinträchtigung seiner Arbeitsfähigkeit, seines beruflichen Einkommens und seiner Lebensqualität"). Ein Kausalzusammenhang wird damit vor allem aufgrund der unzulässigen und daher nicht zu beachtenden Beweisregel "post hoc ergo propter hoc" bejaht. Wie im Bericht vom 2. Juni 2015 verdeutlicht, konnte das nunmehr entfernte Knochenfragment bisher bildgebend nicht gefunden werden. Dr. med. B.________ zeigte in seinem Gutachten auf, dass auch mit Hilfe der Unterlagen, die unmittelbar nach dem Unfall erstellt wurden, unklar ist, welcher Unfallmechanismus tatsächlich angenommen werden kann (Expertise S. 61). Es ist also angesichts des unstreitigen Vorzustandes heute nicht mehr möglich festzustellen, ob dieses tatsächlich durch den Sturz abgebrochen wurde oder ob dieser Sachverhaltsverlauf lediglich "möglich" oder "denkbar" (so auch Dr. med. D.________ auf S. 7 seiner Ausführungen) ist.</w:t>
      </w:r>
    </w:p>
    <w:p>
      <w:r>
        <w:rPr>
          <w:b/>
        </w:rPr>
        <w:t>E. 2.3.3</w:t>
      </w:r>
    </w:p>
    <w:p>
      <w:r>
        <w:t>Aus dem Dargestellten ergibt sich, dass auch nach der Entfernung eines Knochenstücks aus dem Bereiche der unteren Wirbelsäule des Gesuchstellers für die Kausalitätsbeurteilung eine Beweiswürdigung vorzunehmen ist. Da diese notwendigerweise Ermessenszüge aufweist, fällt sie als Revisionsgrund nicht in Betracht (E. 1.2.2).</w:t>
      </w:r>
    </w:p>
    <w:p>
      <w:r>
        <w:rPr>
          <w:b/>
        </w:rPr>
        <w:t>E. 2.3.4</w:t>
      </w:r>
    </w:p>
    <w:p>
      <w:r>
        <w:t>Schliesslich bleibt zu erwähnen, dass bei der Würdigung des Berichts des Dr. med. D.________ vom 2. Juni 2015 auch dem Unterschied zwischen Behandlungs- und Begutachtungsauftrag Rechnung zu tragen ist. Behandelnde Ärzte sagen im Zweifelsfall eher zugunsten ihrer Patienten aus (vgl. BGE 125 V 351 E. 3b/cc S. 353). Dies zeigt sich bei Dr. med. D.________ exemplarisch, fühlt er sich doch geradezu "anwaltlich" dazu berufen, den Ausführungen im Gerichtsgutachten des Dr. med. B.________ entgegenzutreten ("Dagegen gilt es nun</w:t>
      </w:r>
    </w:p>
    <w:p>
      <w:r>
        <w:t>Einspruch zu erheben").</w:t>
      </w:r>
    </w:p>
    <w:p>
      <w:r>
        <w:rPr>
          <w:b/>
        </w:rPr>
        <w:t>E. 2.4</w:t>
      </w:r>
    </w:p>
    <w:p>
      <w:r>
        <w:t>Näherer Betrachtung bedürfte grundsätzlich auch, ob der neu aufgelegte Arztbericht nach dem Wortlaut von Art. 123 Abs. 2 lit. a BGG überhaupt als zulässig zu betrachten wäre. Das kann aber offen bleiben, da das Revisionsgesuch schon nach dem zuvor Gesagten als unbegründet abzuweisen ist.</w:t>
      </w:r>
    </w:p>
    <w:p>
      <w:r>
        <w:rPr>
          <w:b/>
        </w:rPr>
        <w:t>E. 3</w:t>
      </w:r>
    </w:p>
    <w:p>
      <w:r>
        <w:t>Das Revisionsgesuch ist ohne Durchführung eines Schriftenwechsels (vgl. Art. 127 BGG ) abzuweisen. Der Gesuchsteller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