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8F_10/2019 vom 29. August 2019</w:t>
      </w:r>
    </w:p>
    <w:p>
      <w:r>
        <w:t>Bundesgericht, 2019-08-29, DE</w:t>
      </w:r>
    </w:p>
    <w:p>
      <w:r>
        <w:rPr>
          <w:b/>
        </w:rPr>
        <w:t xml:space="preserve">Quelle: </w:t>
      </w:r>
      <w:r>
        <w:t>https://mcp.opencaselaw.ch/entscheid/bger_8F_10_2019</w:t>
      </w:r>
    </w:p>
    <w:p>
      <w:r>
        <w:t>FR: TF 8F_10/2019 du 29 août 2019</w:t>
      </w:r>
    </w:p>
    <w:p>
      <w:r>
        <w:t>IT: TF 8F_10/2019 del 29 agosto 2019</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(SVR 2014 UV Nr. 22 S. 70, 8F_14/2013 E. 1.1; Urteil 8F_1/2019 vom 17. Juli 2019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1.3</w:t>
      </w:r>
    </w:p>
    <w:p>
      <w:r>
        <w:t>Die Revision erfolgt demzufolge nicht wegen neuer, sondern wegen nachträglich neu entdeckter Tatsachen und Beweismittel ( BGE 143 III 272 E. 2.1 S. 275). Sie setzt rechtsprechungsgemäss erstens voraus, dass der Gesuchsteller eine Tatsache geltend macht. Diese muss zweitens erheblich, das heisst geeignet sein, die tatbeständliche Grundlage des angefochtenen Urteils zu verändern und bei zutreffender rechtlicher Würdigung zu einer andern Entscheidung zu führen. Drittens muss sich die Tatsache bereits vor dem zu revidierenden Urteil beziehungsweise bis zum Zeitpunkt, da im Hauptverfahren noch tatsächliche Vorbringen prozessual zulässig waren, verwirklicht haben (unechtes Novum). Tatsachen, die erst nach dem Entscheid entstanden sind, also echte Noven, werden nach Art. 123 Abs. 2 lit. a BGG - wie auch nach Art. 328 Abs. 1 lit. a ZPO - ausdrücklich ausgeschlossen. Viertens muss die Tatsache nachträglich, also nach diesem Zeitpunkt entdeckt worden sein. Fünftens ist erforderlich, dass der Gesuchsteller die Tatsache im Hauptverfahren trotz hinreichender Sorgfalt nicht vorbringen konnte. Ein neues Beweismittel sodann hat erstens dem Beweis einer früheren Tatsache, also eines unechten Novums zu dienen. Es muss zweitens erheblich, das heisst geeignet sein, eine Änderung des Urteils zugunsten des Gesuchstellers zu bewirken. Drittens muss es bereits vor dem zu revidierenden Urteil (beziehungsweise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 BGE 143 III 272 E. 2.2 S. 275 f.; Urteil 8F_3/2019 vom 26. Februar 2019 E. 1.3).</w:t>
      </w:r>
    </w:p>
    <w:p>
      <w:r>
        <w:rPr>
          <w:b/>
        </w:rPr>
        <w:t>E. 1.4</w:t>
      </w:r>
    </w:p>
    <w:p>
      <w:r>
        <w:t>Nach konstanter Rechtsprechung hat sich ein neues Beweismittel sodann auf die Sachverhaltsermittlung zu beziehen. Eine bloss abweichende Würdigung des nämlichen Sachverhalts reicht als Revisionsgrund nicht aus. Für eine Revision des Urteils im Hauptverfahren ist erforderlich, dass das Bundesgericht eine unrichtige Sachverhaltswürdigung vorgenommen hat, weil für das Urteil wesentliche Tatsachen nicht bekannt waren oder unbewiesen blieben, und bei richtigem Urteilsfundament anders zu entscheiden gewesen wäre. Dies ist revisionsweise zu berichtigen (SVR 2016 IV Nr. 7 S. 21, 8F_15/2015 E. 2; SVR 2014 UV Nr. 22 S. 70, 8F_14/2013 E. 1.2; Urteil 8F_9/2017 vom 15. Januar 2018 E. 1.3).</w:t>
      </w:r>
    </w:p>
    <w:p>
      <w:r>
        <w:rPr>
          <w:b/>
        </w:rPr>
        <w:t>E. 2</w:t>
      </w:r>
    </w:p>
    <w:p>
      <w:r>
        <w:t>Im Verfahren 8C_512/2018 war die Leistungspflicht der AXA ab dem 1. Januar 2008 (Taggelder und Heilkosten) sowie die Höhe der zugesprochenen Integritätsentschädigung streitig. Das Bundesgericht kam in seinem Urteil vom 30. Oktober 2018, dessen Revision der Gesuchsteller verlangt, zum Schluss, dass keine konkreten Indizien vorliegen, die gegen die Zuverlässigkeit des BEGAZ-Gutachten vom 4. Juli 2014 sprechen. Die Vorinstanz habe demzufolge kein Bundesrecht verletzt, als sie für die Beurteilung der Leistungsansprüche, insbesondere für die Arbeitsfähigkeit (E. 4) und die Schätzung des Integritätsschadens (E. 5), auf das genannte Gutachten abstellte und in antizipierter Beweiswürdigung auf weitere Abklärungen verzichtete.</w:t>
      </w:r>
    </w:p>
    <w:p>
      <w:r>
        <w:rPr>
          <w:b/>
        </w:rPr>
        <w:t>E. 3</w:t>
      </w:r>
    </w:p>
    <w:p>
      <w:r>
        <w:t>Der Gesuchsteller beruft sich zur Begründung seines Revisionsgesuchs auf die Berichte des Dr. med. B.________ vom 25. April 2019, der seine Beurteilung im Wesentlichen gestützt auf eine neue MRI-Bildgebung vom 15. Februar 2019 verfasste, und des Prof. Dr. med. C.________ vom 1. Februar 2019. Gemäss der Ansicht des Gesuchstellers seien die Berichte Revisionsgründe, weil sie beweisend dafür seien, dass zum Zeitpunkt der ablehnenden Verfügung der AXA Verletzungen vorlagen, die zum damaligen Zeitpunkt nicht bzw. völlig unzureichend bildgebend erfasst worden seien. Er verkennt dabei, dass es sich bei den beiden Berichten und der MRI-Bildgebung vom 15. Februar 2019 um Beweismittel handelt, die erst nach dem zu revidierenden Urteil, beziehungsweise nach dem Zeitpunkt entstanden sind, zu dem sie im Hauptverfahren prozessual zulässigerweise noch hätten eingebracht werden können (vgl. dazu BGE 143 III 272 E. 2.3.2 und hiervor E. 1.2). Demzufolge sind die angerufenen Beweismittel unzulässig, da die dritte Voraussetzung für eine Revision gemäss Art. 123 Abs. 2 lit. a BGG nicht erfüllt ist (vgl. hiervor E. 1.3). Dabei spielt es keine Rolle, dass die Beweismittel dazu bestimmt sind, bereits vorbestehende Tatsachen zu beweisen (vgl. E. 1.3 hiervor; Urteile 5F_26/2018 vom 18. Juli 2019 E. 2.3; 8F_3/2019 vom 26. Februar 2019 E. 3.1 4F_7/2018 vom 28. Juli 2018 E. 2.1.2 und E. 2.3.3.1, 4F_18/2017 vom 4. April 2018 E. 3.1.2 und E. 3.3.1). Ferner legt der Beschwerdeführer auch nicht dar, weshalb die neue MRI-Bildgebung nicht bereits im Hauptverfahren hätte erstellt und eingebracht werden können, zumal er deren Notwendigkeit bereits damals gerügt hatte. Somit fehlt es auch an der fünften der kumulativ bedingten Voraussetzungen. Eine Revision gestützt auf die eingereichten Beweismittel ist somit ausgeschlossen.</w:t>
      </w:r>
    </w:p>
    <w:p>
      <w:r>
        <w:rPr>
          <w:b/>
        </w:rPr>
        <w:t>E. 4</w:t>
      </w:r>
    </w:p>
    <w:p>
      <w:r>
        <w:t>Zusammenfassend liegt kein Revionsgrund im Sinne von Art. 123 Abs. 2 lit. a BGG vor. Demzufolge sind auch die Untersuchungs- und Berichtskosten der behandelnden Ärzte nicht von der Gesuchsgegnerin unter diesem Titel zurückzuerstatten.</w:t>
      </w:r>
    </w:p>
    <w:p>
      <w:r>
        <w:rPr>
          <w:b/>
        </w:rPr>
        <w:t>E. 5</w:t>
      </w:r>
    </w:p>
    <w:p>
      <w:r>
        <w:t>Das Verfahren ist kostenpflichtig ( Art. 65 Abs. 1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