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10/2013 vom 29. August 2013</w:t>
      </w:r>
    </w:p>
    <w:p>
      <w:r>
        <w:t>Bundesgericht, 2013-08-29, FR</w:t>
      </w:r>
    </w:p>
    <w:p>
      <w:r>
        <w:rPr>
          <w:b/>
        </w:rPr>
        <w:t xml:space="preserve">Quelle: </w:t>
      </w:r>
      <w:r>
        <w:t>https://mcp.opencaselaw.ch/entscheid/bger_8F_10_2013</w:t>
      </w:r>
    </w:p>
    <w:p>
      <w:r>
        <w:t>FR: TF 8F 10/2013 du 29 août 2013</w:t>
      </w:r>
    </w:p>
    <w:p>
      <w:r>
        <w:t>IT: TF 8F 10/2013 del 29 agosto 2013</w:t>
      </w:r>
    </w:p>
    <w:p>
      <w:pPr>
        <w:pStyle w:val="Heading2"/>
      </w:pPr>
      <w:r>
        <w:t>Regeste</w:t>
      </w:r>
    </w:p>
    <w:p>
      <w:r>
        <w:t>Assurance-accidents | Assurance-accidents</w:t>
      </w:r>
    </w:p>
    <w:p>
      <w:pPr>
        <w:pStyle w:val="Heading2"/>
      </w:pPr>
      <w:r>
        <w:t>Erwägungen</w:t>
      </w:r>
    </w:p>
    <w:p>
      <w:r>
        <w:rPr>
          <w:b/>
        </w:rPr>
        <w:t>E. 1</w:t>
      </w:r>
    </w:p>
    <w:p>
      <w:r>
        <w:t>A teneur de l' art. 123 al. 2 let. a LTF , la révision d'un arrêt du Tribunal fédéral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demeure pertinente ( ATF 134 III 669 consid. 2.1 et les citations).</w:t>
      </w:r>
    </w:p>
    <w:p>
      <w:r>
        <w:rPr>
          <w:b/>
        </w:rPr>
        <w:t>E. 2</w:t>
      </w:r>
    </w:p>
    <w:p>
      <w:r>
        <w:t>Dans son arrêt du 10 août 2011, le Tribunal fédéral a retenu, sur la base des rapports des docteurs G.________ et Y.________, que l'assurée présentait encore au-delà du mois de janvier 2007 un déficit fonctionnel organique post-traumatique sous la forme d'une instabilité C4-C5, de sorte que la Mobilière n'était pas fondée à supprimer ses prestations. Il appartenait à cette dernière d'examiner si l'opération envisagée était raisonnablement exigible et si l'incapacité de travail de longue durée apparue le 24 septembre 2008 résultait de l'atteinte à la santé due à l'accident.</w:t>
      </w:r>
    </w:p>
    <w:p>
      <w:r>
        <w:rPr>
          <w:b/>
        </w:rPr>
        <w:t>E. 3</w:t>
      </w:r>
    </w:p>
    <w:p>
      <w:r>
        <w:t>A l'appui de sa demande de révision, la requérante invoque un rapport radiologique du docteur K.________ daté du 8 octobre 2012 et produit par l'assurée, en novembre 2012, dans le cadre de la procédure cantonale qui a suivi l'arrêt fédéral de renvoi du 10 août 2011. Dans ce document, qui constitue le compte rendu d'un examen de la colonne cervicale de profil et en flexion-extension, le médecin précité a fait état de signes dégénératifs encore minimes sans évolution significative par rapport à la situation ayant prévalu lors du dernier contrôle du 2 avril 2007, et précisé que "les clichés fonctionnels ne révèlent pas de listhésis notamment au niveau C4-C5". Forte de cette découverte, la requérante expose qu'elle a demandé à son médecin-conseil, le docteur M.________, puis au docteur C.________, de se prononcer sur les conclusions à tirer des bilans radiologiques effectués en 2007 et 2012 - dont elle n'avait pas eu connaissance jusqu'alors - en ce qui concerne l'existence d'une instabilité en C4-C5 chez l'assurée. Leurs rapports respectifs ont été rendus le 30 janvier 2013 pour le premier et le 20 avril 2013 pour le second. Sur la base des nouveaux éléments radiologiques mis à jour, ces deux médecins partagent l'opinion selon laquelle l'assurée ne présente aucune instabilité.</w:t>
      </w:r>
    </w:p>
    <w:p>
      <w:r>
        <w:rPr>
          <w:b/>
        </w:rPr>
        <w:t>E. 4</w:t>
      </w:r>
    </w:p>
    <w:p>
      <w:r>
        <w:t>Pour les motifs prévus par l' art. 123 al. 2 let. a LTF , la demande de révision doit être déposée devant le Tribunal fédéral, sous peine de déchéance, dans les 90 jours qui suivent la découverte du motif de révision ( art. 124 al. 1 let . d LTF). Il s'agit là d'une question qui relève de la recevabilité et non du fond, contrairement à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précité (voir par exemple l'arrêt 4A_570/2011 du 23 juillet 2012; PIERRE FERRARI, in Commentaire de la LTF, 2009, n° 7 ad art. 124 LTF ). La requérante affirme que c'est lors du dépôt du second avis médical qu'elle a sollicité du docteur C.________, soit le 25 avril 2013, qu'elle a eu une connaissance suffisamment sûre du fait nouveau invoqué.</w:t>
      </w:r>
    </w:p>
    <w:p>
      <w:r>
        <w:rPr>
          <w:b/>
        </w:rPr>
        <w:t>E. 5</w:t>
      </w:r>
    </w:p>
    <w:p>
      <w:r>
        <w:t>On ne peut pas suivre la requérante sur ce point. Si, à réception du rapport radiologique du docteur K.________, elle pouvait avoir des doutes sur un éventuel motif de révision, elle avait en tout cas, à réception des deux rapports du docteur M.________, une connaissance suffisamment sûre du fait nouveau qu'elle invoque ou de la pertinence du moyen de preuve qui, à ses yeux, justifie une révision. En effet, le docteur M.________ ne laisse planer aucune hésitation quant à l'interprétation qu'il donne aux bilans radiologiques nouvellement découverts. Il ressort de ses explications que la réalisation de clichés fonctionnels en flexion et extension maximales du rachis cervical de profil constitue l'examen adéquat pour confirmer ou infirmer le soupçon d'une instabilité, au contraire de la "méthode de penning" employée à l'époque par le docteur G.________ et qui, d'après lui, n'est pas de nature à apporter la preuve formelle d'une instabilité. Il retient qu'il n'y a pas d'instabilité chez l'assurée en raison de la "non-évolution radiologique et l'absence de listhésis sur les radios", soulignant que "sur les radios du 2 avril 2007, en flexion-extension, on trouve des membres postérieurs correctement alignés et il n'y a pas d'instabilité visible". Ses considérations, claires et dénuées d'ambiguïté, ne contiennent au surplus aucune réserve ni suggestion de procéder à une instruction complémentaire auprès d'un autre médecin expert. On doit dès lors admettre qu'à la date à laquelle elle a réceptionné les rapports de son médecin-conseil, la requérante était en mesure d'étayer une demande en révision. Celle-ci, d'ailleurs, n'explique pas pourquoi il était nécessaire d'avoir encore un avis du docteur C.________. Supposé donc que l'on soit en présence d'un motif de révision, le point de départ du délai de 90 jours doit être fixé au 31 janvier 2013 (date du timbre de réception). Suspendu du 24 mars au 7 avril 2013 en application de l' art. 46 al. 1 let. a LTF , ce délai est arrivé à échéance le jeudi 16 mai 2013. Déposée le 9 juillet 2013, la demande de révision est, partant, irrecevable.</w:t>
      </w:r>
    </w:p>
    <w:p>
      <w:r>
        <w:rPr>
          <w:b/>
        </w:rPr>
        <w:t>E. 6</w:t>
      </w:r>
    </w:p>
    <w:p>
      <w:r>
        <w:t>Vu le sort de la demande de révision, la requête d'effet suspensif est sans objet.</w:t>
      </w:r>
    </w:p>
    <w:p>
      <w:r>
        <w:rPr>
          <w:b/>
        </w:rPr>
        <w:t>E. 7</w:t>
      </w:r>
    </w:p>
    <w:p>
      <w:r>
        <w:t>En vertu de l' art. 66 al. 1 LTF , les frais judiciaires sont mis à la charge de la requérante. Aucuns dépens ne sont dus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