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3/2015 vom 7. Juni 2016</w:t>
      </w:r>
    </w:p>
    <w:p>
      <w:r>
        <w:t>Bundesgericht, 2016-06-07, FR</w:t>
      </w:r>
    </w:p>
    <w:p>
      <w:r>
        <w:rPr>
          <w:b/>
        </w:rPr>
        <w:t xml:space="preserve">Quelle: </w:t>
      </w:r>
      <w:r>
        <w:t>https://mcp.opencaselaw.ch/entscheid/bger_8D_3_2015</w:t>
      </w:r>
    </w:p>
    <w:p>
      <w:r>
        <w:t>FR: TF 8D 3/2015 du 7 juin 2016</w:t>
      </w:r>
    </w:p>
    <w:p>
      <w:r>
        <w:t>IT: TF 8D 3/2015 del 7 giugno 2016</w:t>
      </w:r>
    </w:p>
    <w:p>
      <w:pPr>
        <w:pStyle w:val="Heading2"/>
      </w:pPr>
      <w:r>
        <w:t>Regeste</w:t>
      </w:r>
    </w:p>
    <w:p>
      <w:r>
        <w:t>Droit de la fonction publique (blâme; recours constitutionnel subsidiaire; qualité pour recourir d'une collectivité publique) | Fonction publique</w:t>
      </w:r>
    </w:p>
    <w:p>
      <w:pPr>
        <w:pStyle w:val="Heading2"/>
      </w:pPr>
      <w:r>
        <w:t>Erwägungen</w:t>
      </w:r>
    </w:p>
    <w:p>
      <w:r>
        <w:rPr>
          <w:b/>
        </w:rPr>
        <w:t>E. 1.1</w:t>
      </w:r>
    </w:p>
    <w:p>
      <w:r>
        <w:t>Le blâme signifié par décision du 7 janvier 2014 s'inscrit dans la procédure de renvoi d'un agent public pour "justes motifs ou raisons graves" selon les art. 45 et suivants de la loi [du canton de Neuchâtel] du 28 juin 1995 sur le statut de la fonction publique (LSt; RS/NE 152. 510), qui prévoient ceci: Renvoi pour justes motifs ou raisons graves a) principe Art. 45 1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 b) avertissement préalable Art. 46 1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w:t>
      </w:r>
    </w:p>
    <w:p>
      <w:r>
        <w:rPr>
          <w:b/>
        </w:rPr>
        <w:t>E. 1.2</w:t>
      </w:r>
    </w:p>
    <w:p>
      <w:r>
        <w:t>La juridiction cantonale considère qu'un blâme ne peut pas être prononcé hors de la procédure prévue par les dispositions précitées. Dans le contexte de celles-ci, l'avertissement au sens de l'art. 46 al. 1 LSt est un préalable obligatoire au prononcé d'un blâme. Le blâme suppose une absence d'amélioration dans le délai imparti à cette fin, entraînant une décision selon l'art. 48 LSt. La procédure menée à l'encontre de l'intimée était donc viciée, ce qui justifiait une annulation pure et simple de la décision du Conseil d'Etat.</w:t>
      </w:r>
    </w:p>
    <w:p>
      <w:r>
        <w:rPr>
          <w:b/>
        </w:rPr>
        <w:t>E. 1.3</w:t>
      </w:r>
    </w:p>
    <w:p>
      <w:r>
        <w:t>Le recourant se plaint notamment d'une application arbitraire de la loi et d'une violation de l'interdiction du formalisme excessif. 2. Le Tribunal fédéral examine d'office et librement la recevabilité des recours qui lui sont soumis ( ATF 140 IV 57 consid. 2 p. 59; 140 I 90 consid. 1 p. 92).</w:t>
      </w:r>
    </w:p>
    <w:p>
      <w:r>
        <w:rPr>
          <w:b/>
        </w:rPr>
        <w:t>E. 2</w:t>
      </w:r>
    </w:p>
    <w:p>
      <w:r>
        <w:t>Faute d'amélioration constatée dans le délai imparti, le chef de service transmet le dossier à l'autorité de nomination avec ses observations.</w:t>
      </w:r>
    </w:p>
    <w:p>
      <w:r>
        <w:rPr>
          <w:b/>
        </w:rPr>
        <w:t>E. 3</w:t>
      </w:r>
    </w:p>
    <w:p>
      <w:r>
        <w:t>La cause relève du droit public, de sorte que, 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lorsque la valeur litigieuse n'atteint pas le montant déterminant, le recours est recevable si la contestation soulève une question juridique de principe ( art. 85 al. 2 LTF ). En l'espèce, la décision attaquée, qui porte sur un blâme, n'a pas d'incidence sur le traitement de l'intimée (voir l'arrêt 1D_15/2007 du 13 décembre 2007 consid. 1.3; cf. aussi FLORENCE AUBRY GIRARDIN, in Commentaire de la LTF, 2ème éd. 2014, n. 102 ad art. 83 LTF ). L'exception prévue à l' art. 83 let . g LTF s'applique donc et seule la voie du recours constitutionnel subsidiaire pourrait entrer en considération ( art. 113 LTF ).</w:t>
      </w:r>
    </w:p>
    <w:p>
      <w:r>
        <w:rPr>
          <w:b/>
        </w:rPr>
        <w:t>E. 4.1</w:t>
      </w:r>
    </w:p>
    <w:p>
      <w:r>
        <w:t>La jurisprudence concernant la recevabilité du recours en matière de droit public ( art. 82 ss LTF , notamment art. 89 al. 1 LTF )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141 I 253 consid. 3.2 p. 255; 134 I 204 consid. 2.3 p. 206 s.; arrêts 8C_596/2009 du 4 novembre 2009 consid. 1.3; 8C_170/2009 du 25 août 2009 consid. 2; 1D_13/2007 du 15 mai 2008 consid. 1.2; 1C_450/2007 du 26 mars 2008 consid. 1; 1C_341/2007 du 6 février 2008 consid. 1.1). Il en va de même d'une décision cantonale qui oblige la collectivité à réintégrer un employé (voir par ex. arrêt 8C_78/2012 du 14 janvier 2013 consid. 1.2). La question de savoir si, après avoir reconnu la qualité pour recourir à la collectivité publique en tant qu'employeur dans la procédure du recours ordinaire, le Tribunal fédéral doit également l'admettre pour le recours constitutionnel subsidiaire, a été laissée indécise (arrêts 8D_7/2013 du 8 janvier 2014 consid 1.3; 8C_1077/2009 17 décembre 2010 consid. 3.2; 1D_13/2007 consid. 1.2 précité).</w:t>
      </w:r>
    </w:p>
    <w:p>
      <w:r>
        <w:rPr>
          <w:b/>
        </w:rPr>
        <w:t>E. 4.2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La notion d'intérêt juridiquement protégé au sens de l' art. 115 al. 1 let. b LTF est étroitement liée aux motifs de recours prévus par l' art. 116 LTF , en ce sens que la partie recourante doit être titulaire d'un droit constitutionnel dont elle invoque une violation ( ATF 140 I 285 consid. 1.2 p. 290;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140 I 285 consid. 1.2 p. 290).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140 I 285 consid. 1.2 p. 290; 132 I 140 consid. 1.3.1 p. 143; 129 I 313 consid. 4.1 p. 318; cf. aussi GIOVANNI BIAGGINI, in Commentaire bâlois, Bundesgerichtsgesetz, 2011, n. 1 ad art. 115 LTF ; HANSJÖRG SEILER, in Seiler/von Werdt/Güngerich/Oberholzer, Bundesgerichtsgesetz, 2ème éd., 2015, n. 13 ad art. 115 LTF ). Pour déterminer si ces conditions sont remplies, on n'examine pas d'abord le statut des parties, mais bien la nature juridique du rapport qui est à la base du litige ( ATF 123 III 454 consid. 2 p. 456; 120 Ia 95 consid. 1a p. 96 et les références).</w:t>
      </w:r>
    </w:p>
    <w:p>
      <w:r>
        <w:rPr>
          <w:b/>
        </w:rPr>
        <w:t>E. 4.3</w:t>
      </w:r>
    </w:p>
    <w:p>
      <w:r>
        <w:t>Un canton ne peut pas se prévaloir d'autonomie au sens de l' art. 50 Cst. qui ne garantit que l'autonomie communale. La question se pose donc à nouveau de savoir s'il convient, s'agissant de la qualité d'une collectivité publique pour former un recours constitutionnel subsidiaire dans le domaine du droit de la fonction publique, de tenir un raisonnement semblable à celui appliqué par le Tribunal fédéral à propos de l' art. 89 al. 1 LTF (dans un sens affirmatif: FRANÇOIS BELLANGER, Le contentieux des sanctions et des licenciements en droit genevois de la fonction publique, in Les réformes de la fonction publique, Tanquerel/Bellanger [éd.], 2012, p. 245; dans le même sens, DAVID HOFMANN, in Actualités juridiques de droit public 2011, Hofmann/Welti [éd.], p. 44 sv.; plutôt contra semble-t-il, SEILER, op. cit., n. 13 ad art. 115 LTF , qui renvoie à l' ATF 120 Ia 95 relatif à l'ancien recours de droit public). Pour les motifs qui vont suivre, cette question peut encore rester ouverte.</w:t>
      </w:r>
    </w:p>
    <w:p>
      <w:r>
        <w:rPr>
          <w:b/>
        </w:rPr>
        <w:t>E. 4.4</w:t>
      </w:r>
    </w:p>
    <w:p>
      <w:r>
        <w:t>En règle ordinaire, on admettra qu'une collectivité publique est atteinte de manière analogue à un particulier lorsque le rapport juridique qui fait l'objet du litige, bien que fondé sur le droit public, présente une structure que l'on peut trouver de manière identique dans des rapports fondés sur le droit privé (PIERRE MOOR, La qualité pour agir des autorités et collectivités dans les recours de droit public et de droit administratif, in Etudes de procédure et d'arbitrage en l'honneur de Jean-François Poudret, 1999, p. 118). Tel n'est pas le cas d'un blâme prononcé en application des dispositions cantonales précitées. Dans les rapports de travail, le blâme est une mesure typique du droit disciplinaire de la fonction publique. La compétence pour infliger des sanctions disciplinaires doit être conférée par la loi. Celles-ci sont soumises au principe de l'exhaustivité. La mesure disciplinaire n'a pas en premier lieu pour but d'infliger une peine: elle tend au maintien de l'ordre, à l'exercice correct de l'activité en question et à l'intégrité de l'administration, qui doit appliquer les lois avec impartialité; vis-à-vis de l'extérieur, elle tend à la préservation de la confiance du public à l'égard de l'activité étatique (arrêt 1D_15/2007 du 13 décembre 2007 consid. 1.1; cf. ROBERT ZIMMERMANN, Les sanctions disciplinaires et administratives au regard de l' art. 6 CEDH , RDAF 1994, p. 335 ss, 344 sv.). Elle s'insère souvent dans un ordre croissant de sanctions en fonction de la gravité du manquement (PIERRE MOOR, Droit administratif, Volume III, L'organisation des activités administratives, 1992, p. 242; voir aussi MINH SON NGUYEN, Sanctions et licenciements: conditions matérielles et exigences procédurales, in Les réformes de la fonction publique, op. cit., p. 169 ss). S'agissant plus particulièrement du blâme, il permet à la collectivité de faire connaître de manière formelle sa désapprobation ou son mécontentement à raison du comportement ou des prestations d'un employé. Accessoirement, il vise à le mettre en garde et à l'informer sur les risques d'un futur licenciement ordinaire (voir PETER HELBLING, in Portmann/Uhlmann [éd.], Bundespersonalgesetz [BPG], 2013, n. 58 ad art. 25 LPers ). Le régime des sanctions disciplinaires du droit de la fonction publique n'a pas d'équivalent en droit privé, où les manquements du salarié sont en priorité sanctionnés par des mesures propres aux règles du code ses obligations, telles que la résiliation ou la modification des rapports de travail (sur cette absence d'équivalence, voir HELBLING, op. cit., n. 9 ad art. 25 LPers ). Comme on l'a vu, un blâme n'a aucune incidence sur le traitement. Son annulation par un tribunal n'oblige donc pas le canton à fournir une prestation. Le fait que le blâme pourrait être invoqué à l'appui d'une procédure ultérieure de licenciement, mettant cette fois en jeu un intérêt patrimonial du canton, n'est pas décisif. Il s'agit d'une conséquence hypothétique et indirecte qui ne suffit pas pour assimiler le canton à un particulier frappé dans ses intérêts pécuniaires (cf. MOOR, La qualité pour agir, op. cit., p. 118; ATF 135 V 382 consid. 3.3.1 p. 387; 134 V 53 consid. 2.3.3.4 p. 59 sv.). En définitive, le canton recourant n'est pas atteint d'une manière analogue à celle d'un employeur privé. C'est au contraire en tant que détenteur de la puissance publique qu'il intervient en prononçant une mesure disciplinaire spécifique au droit public. Dès lors, même si l'on admettait d'étendre au recours constitutionnel subsidiaire la jurisprudence développée en application de l' art. 89 al. 1 LTF (supra consid. 4.3), la possibilité de former un tel recours serait en l'espèce d'emblée exclue.</w:t>
      </w:r>
    </w:p>
    <w:p>
      <w:r>
        <w:rPr>
          <w:b/>
        </w:rPr>
        <w:t>E. 4.5</w:t>
      </w:r>
    </w:p>
    <w:p>
      <w:r>
        <w:t>Il s'ensuit que le recourant n'a pas qualité pour recourir contre l'arrêt du 4 août 2015.</w:t>
      </w:r>
    </w:p>
    <w:p>
      <w:r>
        <w:rPr>
          <w:b/>
        </w:rPr>
        <w:t>E. 5</w:t>
      </w:r>
    </w:p>
    <w:p>
      <w:r>
        <w:t>Succombant, le recourant doit supporter les frais de la procédure fédérale ( art. 66 al. 1 LTF ). L'intimée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