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8D_1/2016 vom 23. Januar 2017</w:t>
      </w:r>
    </w:p>
    <w:p>
      <w:r>
        <w:t>Bundesgericht, 2017-01-23, FR</w:t>
      </w:r>
    </w:p>
    <w:p>
      <w:r>
        <w:rPr>
          <w:b/>
        </w:rPr>
        <w:t xml:space="preserve">Quelle: </w:t>
      </w:r>
      <w:r>
        <w:t>https://mcp.opencaselaw.ch/entscheid/bger_8D_1_2016</w:t>
      </w:r>
    </w:p>
    <w:p>
      <w:r>
        <w:t>FR: TF 8D_1/2016 du 23 janvier 2017</w:t>
      </w:r>
    </w:p>
    <w:p>
      <w:r>
        <w:t>IT: TF 8D_1/2016 del 23 gennaio 2017</w:t>
      </w:r>
    </w:p>
    <w:p>
      <w:pPr>
        <w:pStyle w:val="Heading2"/>
      </w:pPr>
      <w:r>
        <w:t>Erwägungen</w:t>
      </w:r>
    </w:p>
    <w:p>
      <w:r>
        <w:rPr>
          <w:b/>
        </w:rPr>
        <w:t>E. 1</w:t>
      </w:r>
    </w:p>
    <w:p>
      <w:r>
        <w:t>Le Tribunal fédéral examine d'office et librement la recevabilité des recours qui lui sont soumis ( ATF 142 IV 196 consid. 1.1 p.197; 140 I 90 consid. 1 p. 92).</w:t>
      </w:r>
    </w:p>
    <w:p>
      <w:r>
        <w:rPr>
          <w:b/>
        </w:rPr>
        <w:t>E. 2</w:t>
      </w:r>
    </w:p>
    <w:p>
      <w:r>
        <w:t>La décision attaquée n'a pas d'incidence sur le traitement de la recourante. Elle concerne donc une contestation non pécuniaire, de sorte que l'exception prévue à l' art. 83 let . g LTF s'applique ( ATF 136 I 323 consid. 1.1 p. 325; cf. aussi FLORENCE AUBRY GIRARDIN, in Commentaire de la LTF, 2e éd. 2014, n° 102 ad art. 83 LTF ). Partant, seule la voie du recours constitutionnel subsidiaire peut entrer en considération ( art. 113 LTF ).</w:t>
      </w:r>
    </w:p>
    <w:p>
      <w:r>
        <w:rPr>
          <w:b/>
        </w:rPr>
        <w:t>E. 3.1</w:t>
      </w:r>
    </w:p>
    <w:p>
      <w:r>
        <w:t>La qualité pour former un recours constitutionnel subsidiaire suppose toutefois un intérêt juridique à l'annulation ou à la modification de la décision attaquée ( art. 115 let. b LTF ). Les intérêts que le recourant invoque doivent être protégés soit par une règle du droit fédéral ou du droit cantonal, soit directement par un droit fondamental spécifique ( ATF 136 I 323 consid. 1.2 p. 326; 133 I 185 consid. 4 p. 191 ss), par opposition à des droits constitutionnels non spécifiques, telle que l'interdiction de l'arbitraire, qui ne peut être invoquée que si les normes visées accordent à l'intéressé un droit ou servent à protéger ses intérêts prétendument lésés ( ATF 138 I 305 consid. 1.3 p. 308). Il incombe à la partie recourante d'alléguer les faits qu'elle considère comme propres à fonder sa qualité pour recourir au Tribunal fédéral lorsqu'ils ne ressortent pas à l'évidence de la décision attaquée ou du dossier de la cause ( ATF 138 III 537 consid. 1.2 p. 539; 133 II 353 consid. 1 p. 356). En outre, indépendamment du point de savoir si le recourant est légitimé sous l'angle de l' art. 115 let. b LTF à remettre en cause une décision sur le fond, il peut faire valoir la violation de ses droits de partie équivalant à un déni de justice formel. Mais il ne doit alors pas invoquer par ce biais, même indirectement, des moyens qui ne peuvent être séparés du fond. Seuls les griefs de nature formelle qui sont séparés de l'examen de la cause au fond peuvent donc être présentés. En revanche, les griefs qui reviennent de facto à critiquer l'arrêt attaqué sur le plan matériel sont exclus ( ATF 136 I 323 consid. 1.2 précité et les arrêts cités).</w:t>
      </w:r>
    </w:p>
    <w:p>
      <w:r>
        <w:rPr>
          <w:b/>
        </w:rPr>
        <w:t>E. 3.2</w:t>
      </w:r>
    </w:p>
    <w:p>
      <w:r>
        <w:t>En l'espèce, la recourante soutient que le changement de son lieu d'affectation procède d'une décision susceptible de recours devant la Chambre administrative. Elle reproche aux premiers juges de ne pas être entrés en matière sur son recours et se plaint en particulier d'une violation de la garantie de l'accès au juge ( art. 29a Cst. ). Dans cette mesure, elle invoque la violation d'un droit de partie équivalant à un déni de justice formel indépendant du fond ( ATF 135 I 6 consid. 2.1 p. 9). La voie du recours constitutionnel subsidiaire est donc ouverte à ce titre déjà et sans qu'il soit nécessaire d'examiner encore dans le présent contexte la question de l'intérêt juridiquement protégé (cf. ATF 136 I 323 consid. 1.2 déjà cité).</w:t>
      </w:r>
    </w:p>
    <w:p>
      <w:r>
        <w:rPr>
          <w:b/>
        </w:rPr>
        <w:t>E. 4</w:t>
      </w:r>
    </w:p>
    <w:p>
      <w:r>
        <w:t>Saisi d'un recours constitutionnel subsidiaire, le Tribunal fédéral statue sur la base des faits constatés dans la décision attaquée; il ne peut rectifier ou compléter les constatations de fait de l'autorité précédente que si les faits ont été établis en violation des droits constitutionnels ( art. 118 LTF en corrélation avec l' art. 116 LTF ), soit arbitrairement, ce qu'il appartient à la partie recourante d'exposer et de démontrer de manière claire et circonstanciée ( art. 117 et 106 al. 2 LTF ; ATF 141 I 36 consid. 1.3 p. 41; 136 I 332 consid. 2.1 p. 334).</w:t>
      </w:r>
    </w:p>
    <w:p>
      <w:r>
        <w:rPr>
          <w:b/>
        </w:rPr>
        <w:t>E. 5.1</w:t>
      </w:r>
    </w:p>
    <w:p>
      <w:r>
        <w:t>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l'acte interne peut avoir des effets juridiques, mais ce n'en est pas l'objet, et c'est pourquoi il n'est en règle générale pas susceptible de recours.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telles que la définition du cahier des charges ou des instructions relatives à la manière de trancher une affaire, est un acte interne juridique ( ATF 136 I 323 déjà cité consid. 4.4 p. 329 s. et les nombreuses références citées; HÄFELIN/MÜLLER/UHLMANN, Allgemeines Verwaltungsrecht, 7e éd. 2016, n. 874 ss p. 195 s.; THIERRY TANQUEREL, Manuel de droit administratif, 2011, n. 802 s. p. 275 s.; MOOR/POLTIER, Droit administratif, vol. II, 3e éd. 2011, p. 189 ss). Lorsque le fonctionnaire s'oppose à un acte de ce type, ce sont les mesures disciplinaires ou autres moyens de contrainte ressortissant aux règles régissant les rapports internes qui sont susceptibles de s'appliquer (MOOR/POLTIER, ibidem).</w:t>
      </w:r>
    </w:p>
    <w:p>
      <w:r>
        <w:rPr>
          <w:b/>
        </w:rPr>
        <w:t>E. 5.2</w:t>
      </w:r>
    </w:p>
    <w:p>
      <w:r>
        <w:t>Tout changement d'affectation n'ouvre pas la voie d'un recours à l'autorité judiciaire. Un changement d'affectation d'un fonctionnaire constitue une décision attaquable lorsqu'il est susceptible de porter atteinte aux droits de la personnalité de l'employé, y compris le droit au respect de sa vie familiale, ou encore lorsqu'il est de nature à porter atteinte à la considération à laquelle il peut prétendre au regard notamment de ses aptitudes ( ATF 108 Ib 419 consid. 2a p. 421). Il en va de même quand le changement d'affection représente une sanction déguisée et constitue de ce fait un acte attaquable (voir p. ex. arrêts 2P.93/2004 du 15 octobre 2004; 2P.216/2006 du 28 février 2007; 2A.55/1995 du 18 décembre 1995; VALÉRIE DÉFAGO GAUDIN, Conflits et fonction publique: instruments, in Conflits au travail, 2015, p. 160).</w:t>
      </w:r>
    </w:p>
    <w:p>
      <w:r>
        <w:rPr>
          <w:b/>
        </w:rPr>
        <w:t>E. 5.3</w:t>
      </w:r>
    </w:p>
    <w:p>
      <w:r>
        <w:t>Dans l'affaire qui a donné lieu à l' ATF 136 I 323 , susmentionné, le Tribunal fédéral a considéré que la mutation d'un chef de brigade de la police judiciaire genevoise au commissariat de la police avec un nouveau cahier des charges sans véritable adéquation avec ses aptitudes, certes sans modification de salaire, mais à l'avenir sans charge de commandement, était une mesure qui était soumise à un contrôle judiciaire, indépendamment de tout caractère disciplinaire. La mesure relevait non seulement de l'organisation des services de police, mais était également susceptible d'affecter la situation juridique du fonctionnaire de police en tant que titulaire de droits et d'obligations à l'égard de l'Etat. Son objet allait au-delà de l'exécution des tâches qui incombe au fonctionnaire dans sa sphère d'activité habituelle ou des instructions qui lui sont données dans l'exercice de ses tâches.</w:t>
      </w:r>
    </w:p>
    <w:p>
      <w:r>
        <w:rPr>
          <w:b/>
        </w:rPr>
        <w:t>E. 5.4</w:t>
      </w:r>
    </w:p>
    <w:p>
      <w:r>
        <w:t>En l'espèce, la recourante ne prétend pas que le changement de son lieu d'activité professionnelle constitue une sanction déguisée. Il n'est pas non plus allégué que ce changement ne répondrait pas à ses aptitudes. Le cas d'espèce se distingue clairement des faits qui sont à la base de l' ATF 136 I 323 . En effet, la recourante garde la même fonction de psychologue-conseillère en orientation au sein du même office, exécute les mêmes tâches qu'auparavant dans sa sphère d'activité habituelle et perçoit le même traitement. Comme cela ressort des constatations du jugement attaqué, qui lient le Tribunal fédéral, elle n'a pas été nommée pour exercer son activité de conseillère en orientation à un endroit précis. Elle peut au contraire se voir indiquer un autre lieu d'activité (qui n'implique pas, en l'espèce, un changement de domicile ni un déménagement) même en l'absence d'un comportement disciplinairement fautif de sa part. Selon ces mêmes constatations, un tel changement est tout à fait normal et peut être effectué à chaque rentrée scolaire, la fonction de l'intéressée impliquant qu'elle soit disposée à changer de lieu de travail. Aussi bien doit-on admettre, à l'instar de la juridiction cantonale, que la mesure contestée, même si elle a pour origine une situation conflictuelle, présente un caractère interne, qui n'ouvre pas la voie d'un recours.</w:t>
      </w:r>
    </w:p>
    <w:p>
      <w:r>
        <w:rPr>
          <w:b/>
        </w:rPr>
        <w:t>E. 5.5</w:t>
      </w:r>
    </w:p>
    <w:p>
      <w:r>
        <w:t>Au demeurant, et comme l'ont relevé les premiers juges par une argumentation subsidiaire, la mesure prise à l'encontre de la recourante n'était pas injustifiée. Le fait de séparer deux collaboratrices dont les relations sont tendues peut parfaitement se justifier par l'intérêt du service et la protection des collaborateurs, y compris des personnes intéressées. C'est un moyen adéquat de régler un conflit au sein d'un service (voir à ce sujet VALÉRIE DÉFAGO GAUDIN, op. cit, p. 159). Au regard de cet intérêt, il importe peu de départager les torts entre la recourante et E.________. Un tel changement, au surplus, n'a rien de stigmatisant, dès lors que, selon le jugement attaqué, le cahier des charges des collaborateurs de l'office prévoit que ceux-ci peuvent être déplacés au sein des différentes institutions scolaires au gré des besoins institutionnels. Il est ainsi évident qu'un examen au fond ne conduirait pas à remettre en cause la décision du chef de l'OFPC.</w:t>
      </w:r>
    </w:p>
    <w:p>
      <w:r>
        <w:rPr>
          <w:b/>
        </w:rPr>
        <w:t>E. 6</w:t>
      </w:r>
    </w:p>
    <w:p>
      <w:r>
        <w:t>Le recours se révèle ainsi mal fondé. La recourante, qui succombe, supportera les frais judiciaires ( art. 66 al. 1 LTF ).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