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8C_99/2011 vom 26. August 2011</w:t>
      </w:r>
    </w:p>
    <w:p>
      <w:r>
        <w:t>Bundesgericht, 2011-08-26, FR</w:t>
      </w:r>
    </w:p>
    <w:p>
      <w:r>
        <w:rPr>
          <w:b/>
        </w:rPr>
        <w:t xml:space="preserve">Quelle: </w:t>
      </w:r>
      <w:r>
        <w:t>https://mcp.opencaselaw.ch/entscheid/bger_8C_99_2011</w:t>
      </w:r>
    </w:p>
    <w:p>
      <w:r>
        <w:t>FR: TF 8C_99/2011 du 26 août 2011</w:t>
      </w:r>
    </w:p>
    <w:p>
      <w:r>
        <w:t>IT: TF 8C_99/2011 del 26 agosto 2011</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le droit de la recourante à des prestations de l'assurance-invalidité.</w:t>
      </w:r>
    </w:p>
    <w:p>
      <w:r>
        <w:rPr>
          <w:b/>
        </w:rPr>
        <w:t>E. 3</w:t>
      </w:r>
    </w:p>
    <w:p>
      <w:r>
        <w:t>La juridiction cantonale a retenu, de façon à lier le Tribunal fédéral, que la recourante présentait une pleine capacité de travail à la fin du délai de carence d'une année, qui venait à échéance le 30 avril 2008. Se basant sur l'expertise du Centre W.________, à laquelle ils ont accordé entière valeur probante, les premiers juges ont estimé qu'ils étaient en mesure de statuer sans mettre sur pied une expertise médicale judiciaire.</w:t>
      </w:r>
    </w:p>
    <w:p>
      <w:r>
        <w:rPr>
          <w:b/>
        </w:rPr>
        <w:t>E. 4.1</w:t>
      </w:r>
    </w:p>
    <w:p>
      <w:r>
        <w:t>La recourante reproche à l'intimé et à la juridiction cantonale de s'être fondés sur l'expertise du Centre W.________. Elle fait valoir que celle-ci - établie la demande de l'assurance-accidents - ne prend pas en compte les atteintes à la santé d'origine dégénérative dans la mesure où celles-ci ne sont pas en rapport de causalité avec l'événement du 30 avril 2007 dont a à répondre cet assureur.</w:t>
      </w:r>
    </w:p>
    <w:p>
      <w:r>
        <w:rPr>
          <w:b/>
        </w:rPr>
        <w:t>E. 4.2</w:t>
      </w:r>
    </w:p>
    <w:p>
      <w:r>
        <w:t>Ce moyen n'est d'aucun secours à la recourante. En effet, il ressort sans ambiguïté du questionnaire auquel ont répondu les experts qu'une partie des questions (expertise p. 22) était expressément destinée à permettre de trancher le cas sous l'angle de l'assurance-invalidité. C'est d'ailleurs dans cette partie du questionnaire que les experts ont diagnostiqué une entorse cervicale bénigne (le 30 avril 2007) et des discopathies cervicales C4-C5 et C5-C6 et précisé que ces atteintes étaient sans répercussion sur la capacité de travail.</w:t>
      </w:r>
    </w:p>
    <w:p>
      <w:r>
        <w:rPr>
          <w:b/>
        </w:rPr>
        <w:t>E. 5</w:t>
      </w:r>
    </w:p>
    <w:p>
      <w:r>
        <w:t>La recourante fait grief à la juridiction cantonale d'avoir accordé valeur probante à l'expertise du Centre W.________. Elle se plaint du fait que celle-ci contient des erreurs dans l'anamnèse, des contradictions intrinsèques et qu'elle arrive à des conclusions divergentes de celles d'autres médecins.</w:t>
      </w:r>
    </w:p>
    <w:p>
      <w:r>
        <w:rPr>
          <w:b/>
        </w:rPr>
        <w:t>E. 5.1</w:t>
      </w:r>
    </w:p>
    <w:p>
      <w:r>
        <w:t>En ce qui concerne l'anamnèse, la recourante fait valoir que les experts ont commis une erreur en faisant état d'un accident de moto alors qu'elle était en apprentissage. La mention d'un tel événement est difficilement explicable si la recourante n'a pas signalé ce fait. Cette erreur ne porte toutefois pas à conséquence dans la mesure où les experts n'ont tiré aucune conclusion de ce prétendu accident.</w:t>
      </w:r>
    </w:p>
    <w:p>
      <w:r>
        <w:rPr>
          <w:b/>
        </w:rPr>
        <w:t>E. 5.2</w:t>
      </w:r>
    </w:p>
    <w:p>
      <w:r>
        <w:t>La recourante estime que l'expertise contient une contradiction intrinsèque dès lors qu'elle nie à la fois l'existence de lésions objectives et celle d'atteintes psychiatriques. Pour elle, si ses douleurs ne résultent pas de troubles somatique, elles doivent nécessairement avoir une cause psychique et inversement.</w:t>
      </w:r>
    </w:p>
    <w:p>
      <w:r>
        <w:t>Cette critique de la recourante ne peut être suivie. Sur le plan somatique, les experts ont affirmé n'avoir pas objectivé les douleurs. Sur le plan psychique, ils ont admis qu'il était tout au plus possible de retenir quelques traits de personnalité histrionique, sans pouvoir préciser s'il s'agissait de traits histrioniques ou de certaines caractéristiques de la personnalité. Cette distinction est toutefois sans importance car ces symptômes n'atteignaient de toute façon pas le seuil d'un trouble de la personnalité. De plus, les experts ont relevé que le comportement de l'expertisée durant l'entretien et l'examen faisait « clairement soupçonner l'existence de facteurs de majoration des symptômes ». La motivation des experts ne contient aucune contradiction. En outre, ceux-ci indiquent sans ambiguïté les motifs pour lesquels ils ont nié aussi bien la présence de troubles psychiques que l'existence de lésions somatiques objectives.</w:t>
      </w:r>
    </w:p>
    <w:p>
      <w:r>
        <w:rPr>
          <w:b/>
        </w:rPr>
        <w:t>E. 5.3</w:t>
      </w:r>
    </w:p>
    <w:p>
      <w:r>
        <w:t>En ce qui concerne la différence entre les conclusions des experts et celles des docteurs Z.________ et R.________ (rapports des 5 novembre 2007 et 23 septembre 2008), il faut relever que l'expertise du Centre W.________ répond à toutes les exigences posées par la jurisprudence ( ATF 125 V 351 consid. 3a et les références citées). Sur le plan des atteintes objectivées, les experts ont retenu des discopathies cervicales, ainsi que la non-fusion de l'arc postérieur de C6, découverte fortuite, sans répercussion clinique. Ils ont considéré qu'il n'y avait pas d'anomalies objectives majeures. S'agissant des effets de ces atteintes objectives, les experts n'ont pas constaté de limitations dans les mouvements spontanés ou de comportements algiques limitatifs. De plus, les douleurs décrites par l'assurée lors de certains mouvements ou de certaines palpations n'ont pas provoqué de restriction de la mobilité, de contracture musculaire nette ou de déficit manifeste.</w:t>
      </w:r>
    </w:p>
    <w:p>
      <w:r>
        <w:t>Les constatations des experts du Centre W.________ concordent avec celles faites par les médecins du Centre T.________ (rapport du docteur I.________ et de la doctoresse H.________ du 19 juin 2008). Ceux-ci n'ont pas observé de limitations dans les activités quotidiennes à la clinique et ont indiqué que l'assurée effectuait sans restriction des exercices de renforcement et d'assouplissement mais à un rythme légèrement ralenti. Les docteurs Z.________ et R.________ ont quant à eux surtout fait état de douleurs sans substrat organique à l'exception de la discopathie C4-C6 et d'une fente au niveau de l'apophyse épineuse C6, lesquelles sont, à dire d'experts, sans répercussions cliniques.</w:t>
      </w:r>
    </w:p>
    <w:p>
      <w:r>
        <w:rPr>
          <w:b/>
        </w:rPr>
        <w:t>E. 5.4</w:t>
      </w:r>
    </w:p>
    <w:p>
      <w:r>
        <w:t>Dans ces conditions, il y a lieu d'admettre que la juridiction cantonale pouvait sans arbitraire retenir que la recourante avait récupéré une pleine capacité de travail dans toutes activités avant l'échéance du délai de carence de l' art. 28 LAI .</w:t>
      </w:r>
    </w:p>
    <w:p>
      <w:r>
        <w:rPr>
          <w:b/>
        </w:rPr>
        <w:t>E. 5.5</w:t>
      </w:r>
    </w:p>
    <w:p>
      <w:r>
        <w:t>Au vu de ces constatations, les pièces du dossier se révélaient suffisantes pour statuer en pleine connaissance de cause, sans que l'administration d'autres preuves ne s'impose. Les premiers juges pouvaient s'en dispenser par appréciation anticipée des preuves ( ATF 134 I 140 consid. 5.3 p. 148; 131 I 153 consid. 3 p. 157 ; 130 II 425 consid. 2 p. 428 ; voir aussi par ex. arrêts 8C_361/2009 du 3 mars 2010 consid 3.2 et 8C_15/2009 du 11 janvier 2010 consid. 3.2). Il n'y a donc pas lieu d'accueillir le grief de la recourante selon lequel la juridiction cantonale aurait dû mettre en ?uvre un complément d'instruction sous la forme d'une expertise. Il n'y a dès lors pas eu de violation du droit d'être entendue de la recourante.</w:t>
      </w:r>
    </w:p>
    <w:p>
      <w:r>
        <w:rPr>
          <w:b/>
        </w:rPr>
        <w:t>E. 6</w:t>
      </w:r>
    </w:p>
    <w:p>
      <w:r>
        <w:t>Dans une argumentation subsidiaire, la juridiction cantonale a considéré que, même si l'avis du docteur Z.________, qui a admis une incapacité de travail au-delà du délai de carence, devait être retenu, il faudrait nier tout caractère invalidant à l'atteinte à la santé en application de la jurisprudence du Tribunal fédéral ( ATF 136 V 279 ).</w:t>
      </w:r>
    </w:p>
    <w:p>
      <w:r>
        <w:t>Il n'y a pas lieu d'examiner le bien-fondé de cette appréciation dans la mesure où la recourante n'a pas établi que c'était de façon erronée que la juridiction cantonale avait retenu une pleine capacité de travail de l'assurée dans toute activité professionnelle à l'échéance du délai de carence.</w:t>
      </w:r>
    </w:p>
    <w:p>
      <w:r>
        <w:rPr>
          <w:b/>
        </w:rPr>
        <w:t>E. 7</w:t>
      </w:r>
    </w:p>
    <w:p>
      <w:r>
        <w:t>Il résulte de ce qui précède que le recours est mal fondé.</w:t>
      </w:r>
    </w:p>
    <w:p>
      <w:r>
        <w:rPr>
          <w:b/>
        </w:rPr>
        <w:t>E. 8</w:t>
      </w:r>
    </w:p>
    <w:p>
      <w:r>
        <w:t>La recourante a sollicité le bénéfice de l'assistance judiciaire pour l'instance fédérale. Les conditions d'octroi de l'assistance judiciaire gratuite étant réalisées ( art. 64 al. 1 et 2 LTF ), celle-ci lui est accordée de sorte qu'elle sera dispensée des frais judiciaires et que les honoraires de son avocat seront pris en charge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