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8C_997/2009 vom 4. Mai 2010</w:t>
      </w:r>
    </w:p>
    <w:p>
      <w:r>
        <w:t>Bundesgericht, 2010-05-04, DE</w:t>
      </w:r>
    </w:p>
    <w:p>
      <w:r>
        <w:rPr>
          <w:b/>
        </w:rPr>
        <w:t xml:space="preserve">Quelle: </w:t>
      </w:r>
      <w:r>
        <w:t>https://mcp.opencaselaw.ch/entscheid/bger_8C_997_2009</w:t>
      </w:r>
    </w:p>
    <w:p>
      <w:r>
        <w:t>FR: TF 8C_997/2009 du 4 mai 2010</w:t>
      </w:r>
    </w:p>
    <w:p>
      <w:r>
        <w:t>IT: TF 8C_997/2009 del 4 maggio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SUVA zu Recht ihre Geldleistungen um 50 % kürzte.</w:t>
      </w:r>
    </w:p>
    <w:p>
      <w:r>
        <w:rPr>
          <w:b/>
        </w:rPr>
        <w:t>E. 3</w:t>
      </w:r>
    </w:p>
    <w:p>
      <w:r>
        <w:t>Im Einspracheentscheid und im kantonalen Gerichtsentscheid werden die massgebenden Bestimmungen über die Kürzung von Leistungen der obligatorischen Unfallversicherung bei aussergewöhnlichen Gefahren und Wagnissen gemäss Art. 39 UVG , insbesondere Art. 49 Abs. 2 lit. a UVV , wo eine mindestens hälftige Herabsetzung der Geldleistungen bei Beteiligung an Raufereien und Schlägereien vorgesehen ist, sowie die hiezu ergangene Rechtsprechung zutreffend dargelegt. Darauf wird verwiesen.</w:t>
      </w:r>
    </w:p>
    <w:p>
      <w:r>
        <w:rPr>
          <w:b/>
        </w:rPr>
        <w:t>E. 4.1</w:t>
      </w:r>
    </w:p>
    <w:p>
      <w:r>
        <w:t>Es steht fest und ist unbestritten, dass der Beschwerdeführer sich am 20. Januar 2006 an einer Schlägerei/Rauferei im Sinne von Art. 49 Abs. 2 lit. a UVV beteiligt hatte. Die Verletzungen, welche er an diesem Tag erlitt, sind jedoch nicht auf die direkte körperliche Gewalt bei der Schlägerei zurückzuführen, sondern auf einen unmittelbar anschliessenden Verkehrsunfall. Zu diesem kam es, als der Versicherte im Anschluss an die Schlägerei aus Angst vor seinem Cousin das Weite suchte und dabei ohne die gebotene Aufmerksamkeit die Fahrbahn der Strasse betrat. Der Beschwerdeführer macht dazu im Wesentlichen geltend, eine Kürzung nach Art. 49 UVV sei lediglich für die unmittelbaren Folgen der Schlägerei, nicht jedoch für die Folgen der anschliessenden Verkehrsunfälle zulässig. Das Überqueren der Strasse und das Erfasstwerden von einem Motorfahrzeug gehörten nicht zu den spezifischen Gefahren der Handlung im Sinne von Art. 49 Abs. 2 lit. a UVV .</w:t>
      </w:r>
    </w:p>
    <w:p>
      <w:r>
        <w:rPr>
          <w:b/>
        </w:rPr>
        <w:t>E. 4.2</w:t>
      </w:r>
    </w:p>
    <w:p>
      <w:r>
        <w:t>Mit der Vorinstanz setzt eine Leistungskürzung nach Art. 49 Abs. 2 lit. a UVV gemäss geltender Rechtsprechung voraus, dass zwischen dem als Beteiligung an einer Rauferei oder Schlägerei zu qualifizierenden Verhalten und dem Unfall ein natürlicher und adäquater Kausalzusammenhang besteht. Die Beurteilung der Adäquanz im Besonderen hat retrospektiv zu erfolgen. Es ist zu fragen, ob und inwiefern die objektiv unter Art. 49 Abs. 2 lit. a UVV fallende Handlung als eine wesentliche Ursache des Unfalles erscheint. Dies ist dann zu bejahen, wenn die spezifischen Gefahren des allenfalls zu sanktionierenden Verhaltens des Versicherten sich beim Unfallereignis konkret ausgewirkt haben und nach der allgemeinen Lebenserfahrung und dem gewöhnlichen Lauf der Dinge geeignet sind, einen Unfall von der Art des eingetretenen herbeizuführen. Dabei ist auch ein gewisser zeitlicher Konnex notwendig (in BGE 132 V 27 nicht publizierte E. 1.2 des Urteil U 325/05 vom 5. Januar 2006, publiziert in SVR 2006 UV Nr. 13 S. 45 E. 1.2 mit weiteren Hinweisen).</w:t>
      </w:r>
    </w:p>
    <w:p>
      <w:r>
        <w:rPr>
          <w:b/>
        </w:rPr>
        <w:t>E. 4.3</w:t>
      </w:r>
    </w:p>
    <w:p>
      <w:r>
        <w:t>Der Tatbestand der Beteiligung an einer Rauferei oder Schlägerei im Sinne von Art. 49 Abs. 2 lit. a UVV kann zeitlich nicht als beendet gelten, solange nicht alle daran Beteiligten klar erkennbar mit dem verbal oder handgreiflich ausgefochtenen Streit aufgehört haben und nicht mit einer Fortsetzung bei nächster Gelegenheit gerechnet werden muss (SVR 2006 UV Nr. 13 S. 46, U 325/05 E. 1.3 mit Hinweis). Es ist natürlich und nachvollziehbar und entspricht der allgemeinen Lebenserfahrung, dass eine Person, die sich an einer Schlägerei beteiligt hat, mitunter durch Flucht einer Eskalation zu entkommen versucht, um allenfalls gravierende oder sogar tödliche Verletzungen zu verhindern. Trotzdem muss gemäss Rechtsprechung bei Verwirklichung einer damit verbundenen, voraussehbaren Unfallgefahr die vorausgehende Auseinandersetzung als eine hiefür adäquate Ursache betrachtet werden (SVR 2006 UV Nr. 13 S. 45, U 325/05 E. 1.3 mit weiteren Hinweisen). So wurde im genannten Entscheid ein adäquater Kausalzusammenhang zwischen der Beteiligung an einem Raufhandel und den Verletzungen einer versicherten Person bejaht, welche diese sich zuzog, nachdem sie verletzt auf ihr Hotelzimmer gebracht worden war und dieses, als sie alleine war, aus Angst vor weiteren Nachsetzungen über den Balkon zu verlassen versuchte, wobei sie abstürzte (vgl. SVR 2006 UV Nr. 13 S. 45, U 325/05 E. 2.2.2).</w:t>
      </w:r>
    </w:p>
    <w:p>
      <w:r>
        <w:rPr>
          <w:b/>
        </w:rPr>
        <w:t>E. 4.4</w:t>
      </w:r>
    </w:p>
    <w:p>
      <w:r>
        <w:t>Wie das kantonale Gericht zutreffend erwogen hat, erscheint im Lichte dieser Rechtsprechung der Kausalzusammenhang zwischen der Schlägerei und den Verletzungen, welche sich der Versicherte auf der Flucht durch die Motorfahrzeugunfälle zugezogen hat, als adäquat. Wer unmittelbar nach einer Schlägerei auf der Flucht ohne auf den Verkehr zu achten die Fahrbahn einer Hauptstrasse überquert, muss nach der allgemeinen Lebenserfahrung und dem gewöhnlichen Lauf der Dinge ohne weiteres damit rechnen, von einem Auto angefahren zu werden. Dabei ist unerheblich, dass der mehr als 30 m vom Tatort entfernte Unfallort nicht sichtbar war, wie behauptet wird. Entgegen den Vorbringen des Versicherten ist dieser Kausalitätsverlauf zudem nicht vergleichbar mit demjenigen, welcher dem (nicht veröffentlichten) Urteil U 42/77 vom 2. August 1978 (vgl. auch RKUV 1996 Nr. U 250 S. 181, U 131/95 E. 3b) zugrunde lag, in dem ein adäquater Kausalzusammenhang zwischen der Provokation und dem Sturz verneint wurde. Jener Versicherte flüchtete, nachdem er den Ehemann seiner Geliebten provoziert hatte, nachts vor diesem in einen nahe gelegenen Wald, wo er eine fünfzehn Meter hohe Felswand hinunterstürzte und sich verletzte. Abgesehen vom entfernteren zeitlichen Konnex zwischen dem tadelnswerten Handeln und der Verletzung im Vergleich zum vorliegenden Fall, ist die Gefahr, nachts in einem Wald eine Felswand herunterzustürzen, ungleich geringer als jene, von einem Fahrzeug angefahren zu werden, wenn man beim Versuch nach einer Schlägerei zu fliehen ohne die gebotene Aufmerksamkeit auf die Fahrbahn einer Hauptstrasse hinausrennt.</w:t>
      </w:r>
    </w:p>
    <w:p>
      <w:r>
        <w:rPr>
          <w:b/>
        </w:rPr>
        <w:t>E. 4.5</w:t>
      </w:r>
    </w:p>
    <w:p>
      <w:r>
        <w:t>Nachdem die erlittenen Verletzungen zwar mittelbare, aber noch adäquat kausale Folge der Schlägerei, an welcher sich der Versicherte beteiligt hatte, waren, erweist sich die Kürzung der Geldleistungen um die Hälfte als rechtens, womit der vorinstanzliche Entscheid zu bestätigen ist.</w:t>
      </w:r>
    </w:p>
    <w:p>
      <w:r>
        <w:rPr>
          <w:b/>
        </w:rPr>
        <w:t>E. 5</w:t>
      </w:r>
    </w:p>
    <w:p>
      <w:r>
        <w:t>Das Verfahren ist kostenpflichtig (Art. 65 Abs. 1 und Abs. 4 lit. a BGG). Die Gerichtskosten werden dem unterliegenden Beschwerdeführer auferlegt ( Art. 66 Abs. 1 BGG ). Dem Gesuch um unentgeltliche Prozessführung (im Sinne der vorläufigen Befreiung von den Gerichtskosten und der unentgeltlichen Verbeiständung) kann entsprochen werden, da die Bedürftigkeit mit Blick auf die letztinstanzlich eingereichten Unterlagen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