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8C_991/2009 vom 6. Mai 2010</w:t>
      </w:r>
    </w:p>
    <w:p>
      <w:r>
        <w:t>Bundesgericht, 2010-05-06, DE</w:t>
      </w:r>
    </w:p>
    <w:p>
      <w:r>
        <w:rPr>
          <w:b/>
        </w:rPr>
        <w:t xml:space="preserve">Quelle: </w:t>
      </w:r>
      <w:r>
        <w:t>https://mcp.opencaselaw.ch/entscheid/bger_8C_991_2009</w:t>
      </w:r>
    </w:p>
    <w:p>
      <w:r>
        <w:t>FR: TF 8C_991/2009 du 6 mai 2010</w:t>
      </w:r>
    </w:p>
    <w:p>
      <w:r>
        <w:t>IT: TF 8C_991/2009 del 6 maggio 2010</w:t>
      </w:r>
    </w:p>
    <w:p>
      <w:pPr>
        <w:pStyle w:val="Heading2"/>
      </w:pPr>
      <w:r>
        <w:t>Erwägungen</w:t>
      </w:r>
    </w:p>
    <w:p>
      <w:r>
        <w:rPr>
          <w:b/>
        </w:rPr>
        <w:t>E. 1</w:t>
      </w:r>
    </w:p>
    <w:p>
      <w:r>
        <w:t>Da den beiden Beschwerden derselbe Sachverhalt zugrunde liegt, sich teilweise die gleichen Rechtsfragen stellen und die Rechtsmittel den nämlichen vorinstanzlichen Entscheid betreffen, rechtfertigt es sich, die beiden Verfahren zu vereinigen und in einem einzigen Urteil zu erledigen ( BGE 128 V 124 E. 1 S. 126 mit Hinweisen).</w:t>
      </w:r>
    </w:p>
    <w:p>
      <w:r>
        <w:rPr>
          <w:b/>
        </w:rPr>
        <w:t>E. 2.1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 zu machenden Nachteil bewirken kann (lit. a) oder dass die Gutheissung der Beschwerde sofort einen Endentscheid herbeiführen und damit einen bedeutenden Aufwand an Zeit oder Kosten für ein weitläufiges Beweisverfahren ersparen würde (lit. b).</w:t>
      </w:r>
    </w:p>
    <w:p>
      <w:r>
        <w:rPr>
          <w:b/>
        </w:rPr>
        <w:t>E. 2.2</w:t>
      </w:r>
    </w:p>
    <w:p>
      <w:r>
        <w:t>Beschlägt ein Rechtsstreit verschiedene Aspekte, und wird - etwa aus prozessökonomischen Gründen - über einen dieser Aspekte vorab entschieden, so handelt es sich beim Entscheid der letzten kantonalen Instanz je nach Ausgang des Verfahrens um einen End- oder um einen Vorentscheid: Wird etwa bei mehreren kumulativ zu erfüllenden Anspruchsvoraussetzungen eine dieser Voraussetzungen vorab geprüft und verneint, so wird es sich beim kantonalen Entscheid in der Regel um einen Endentscheid handeln, der gemäss Art. 90 BGG ohne weiteres anfechtbar ist. Wird demgegenüber von mehreren Anspruchsvoraussetzungen eine vorab bejaht, so handelt es sich beim kantonalen Entscheid um einen Vorentscheid (weitere Beispiele bei FELIX UHLMANN, in: Basler Kommentar, Bundesgerichtsgesetz, 2008, N 4 zu Art. 92 BGG ), welcher vor Bundesgericht nur dann anfechtbar ist, wenn die Voraussetzungen von Art. 93 BGG erfüllt sind.</w:t>
      </w:r>
    </w:p>
    <w:p>
      <w:r>
        <w:rPr>
          <w:b/>
        </w:rPr>
        <w:t>E. 2.3</w:t>
      </w:r>
    </w:p>
    <w:p>
      <w:r>
        <w:t>Gelangt in einem Verwaltungsverfahren die Verwaltung zum Schluss, eine von mehreren kumulativ zu erfüllenden Anspruchsvoraussetzungen sei nicht erfüllt, so ist es zulässig, dass sie ihre Leistungspflicht verneint, ohne die anderen Anspruchsvoraussetzungen zu prüfen. Auch im daran sich allenfalls anschliessenden kantonalen Verwaltungsgerichtsverfahren wird in der Regel lediglich das Vorliegen dieser einen Anspruchsvoraussetzung geprüft (vgl. BGE 125 V 413 E. 1a S. 414). Könnte die Verwaltung einen kantonal letztinstanzlichen Entscheid, wonach diese eine Voraussetzung erfüllt ist, nicht vor Bundesgericht anfechten, so hätte dies zur Folge, dass sie zur Prüfung der weiteren Anspruchsvoraussetzungen schreiten müsste und - sollten diese zu bejahen sein -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w:t>
      </w:r>
    </w:p>
    <w:p>
      <w:r>
        <w:rPr>
          <w:b/>
        </w:rPr>
        <w:t>E. 2.4</w:t>
      </w:r>
    </w:p>
    <w:p>
      <w:r>
        <w:t>Das kantonale Gericht hat in seinem Entscheid vom 20. Oktober 2009 zunächst die Einstellung der Taggeldleistungen durch die SWICA per 12. Dezember 2006 bestätigt und die Beschwerde des Versicherten diesbezüglich abgewiesen. Der vorinstanzliche Entscheid über die Taggeldleistungen stellt einen Teilentscheid dar; auf die sich darauf beziehende Beschwerde des Versicherten ist somit einzutreten.</w:t>
      </w:r>
    </w:p>
    <w:p>
      <w:r>
        <w:rPr>
          <w:b/>
        </w:rPr>
        <w:t>E. 2.5</w:t>
      </w:r>
    </w:p>
    <w:p>
      <w:r>
        <w:t>Bezüglich eines Anspruches auf Invalidenrente und Integritätsentschädigung fällte die Vorinstanz mit ihrem Entscheid vom 20. Oktober 2009 einen (Teil-)Zwischenentscheid: Sie hob den Einspracheentscheid der SWICA diesbezüglich auf, bejahte für die Versicherung verbindlich die Adäquanz des Kausalzusammenhanges zwischen dem versicherten Ereignis und den geklagten Beschwerden und wies die Sache zur Prüfung der übrigen Anspruchsvoraussetzungen an die Versicherung zurück. Hätte der vorinstanzliche Entscheid Bestand, so wäre die Versicherung unter Umständen gezwungen, eine ihres Erachtens rechtswidrige Verfügung zu erlassen, womit sie einen nicht wieder gutzumachenden Nachteil erlitte (vgl. Urteil 8C_686/2008 vom 23. Januar 2009 E. 1.4). Auch auf ihre Beschwerde ist demnach einzutreten.</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4.2</w:t>
      </w:r>
    </w:p>
    <w:p>
      <w:r>
        <w:t>Bei Anwendung der Rechtsprechung gemäss BGE 115 V 133 ist für die Bejahung des adäquaten Kausalzusammenhangs im Einzelfall erforderlich,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und es sind weitere objektiv erfassbare Umstände in eine Gesamtwürdigung einzubeziehen.</w:t>
      </w:r>
    </w:p>
    <w:p>
      <w:r>
        <w:rPr>
          <w:b/>
        </w:rPr>
        <w:t>E. 4.3</w:t>
      </w:r>
    </w:p>
    <w:p>
      <w:r>
        <w:t>Der Katalog dieser Kriterien lautet wie folgt:</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rPr>
          <w:b/>
        </w:rPr>
        <w:t>E. 4.4</w:t>
      </w:r>
    </w:p>
    <w:p>
      <w:r>
        <w:t>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Weise erfüllt sein, damit die Adäquanz bejaht wird. Diese Würdigung des Unfalles zusammen mit den objektiven Kriterien führt zur Bejahung oder Verneinung des adäquaten Kausalzusammenhangs.</w:t>
      </w:r>
    </w:p>
    <w:p>
      <w:r>
        <w:rPr>
          <w:b/>
        </w:rPr>
        <w:t>E. 5</w:t>
      </w:r>
    </w:p>
    <w:p>
      <w:r>
        <w:t>Streitig und zu prüfen ist zunächst die grundsätzliche Leistungspflicht der SWICA für die über den 12. Dezember 2006 hinaus anhaltend geklagten Beschwerden des Versicherten.</w:t>
      </w:r>
    </w:p>
    <w:p>
      <w:r>
        <w:rPr>
          <w:b/>
        </w:rPr>
        <w:t>E. 6.1</w:t>
      </w:r>
    </w:p>
    <w:p>
      <w:r>
        <w:t>Es steht fest und ist unbestritten, dass der Versicherte am 3. September 2005 einen Verkehrsunfall mit HWS-Distorsion und Thorax-Kontusion erlitten hat. Die Wirbelsäule des Versicherten weist im Weiteren im Bereich der Wirbelkörper BWK 6 und BWK 7 eine Anomalie auf. Gemäss dem Gutachten des Instituts Y.________ vom 11. August 2008 handelt es sich hiebei um einen bereits vor dem Ereignis vom 3. September 2005 bestehenden Keilwirbel; demgegenüber bestreitet Dr. med. N.________ in seinem Bericht vom 5. Oktober 2008, dass diese Anomalie bereits auf den Röntgenbilder vom 3. August 2002 erkennbar gewesen ist und äussert einen dringenden Verdacht auf eine Impressionsfraktur des BWK 7. Eine solche stünde indessen im Widerspruch zu den Befunden des Krankenhauses X.________, welches eine Fraktur in seinem Bericht vom Unfalltag ausdrücklich ausgeschlossen hat. Wie es sich damit verhält, kann jedoch offenbleiben, da diese Wirbelsäulenanomalien gemäss dem Gutachten des Instituts Y.________ sich nicht namhaft auf den Gesundheitszustand des Versicherten auswirken und die über den 12. Dezember 2006 anhaltend geklagten Beschwerden sich nicht mit diesen erklären lassen.</w:t>
      </w:r>
    </w:p>
    <w:p>
      <w:r>
        <w:rPr>
          <w:b/>
        </w:rPr>
        <w:t>E. 6.2</w:t>
      </w:r>
    </w:p>
    <w:p>
      <w:r>
        <w:t>Lassen sich die geklagten Beschwerden nicht auf einen durch apperative/bildgebende Verfahren nachweisbaren und damit im Sinne der Rechtsprechung organisch hinreichend nachgewiesenen Gesundheitsschaden erklären, so ist die Adäquanz eines Kausalzusammenhanges zwischen dem Unfallereignis und diesen Beschwerden speziell zu prüfen. Aufgrund des erwähnten Gutachten des Instituts Y.________ ist davon auszugehen, dass die geklagten Beschwerden nicht mehr auf den Unfall vom 3. August 2002, sondern nur noch auf das Ereignis vom 3. September 2005 zurückzuführen sind. Dem Gutachten kann weiter entnommen werden, dass von der Fortsetzung der ärztlichen Behandlung bereits seit Ende 2006 keine namhafte Besserung des Gesundheitszustandes mehr zu erwarten war. Wie die Vorinstanz in Würdigung der medizinischen Akten festgestellt hat und letztinstanzlich unbestritten geblieben ist, fehlt beim Versicherten das nach Schleudertraumata oftmals beobachtete und daher als typisch bezeichnete vielschichtige Beschwerdebild. Somit rechtfertigt sich die Anwendung der Kriterien der sog. "Schleudertrauma-Rechtsprechung" ( BGE 134 V 109 ) nicht, die Prüfung hat vielmehr nach jenen Kriterien zu erfolgen, welche von der Rechtsprechung für psychische Unfallfolgen entwickelt wurden ( BGE 115 V 133 ; vgl. Urteil 8C_981/2009 vom 18. Dezember 2009 E. 4.2 mit weiteren Hinweisen).</w:t>
      </w:r>
    </w:p>
    <w:p>
      <w:r>
        <w:rPr>
          <w:b/>
        </w:rPr>
        <w:t>E. 7.1</w:t>
      </w:r>
    </w:p>
    <w:p>
      <w:r>
        <w:t>Die Schwere des Unfalles ist auf Grund des augenfälligen Geschehensablaufs mit den sich dabei entwickelnden Kräften zu beurteilen (SVR 2008 UV Nr. 8 S. 26, U 2/07 E. 5.3.1). Entgegen den Ausführungen des Versicherten in seiner Beschwerde an das kantonale Gericht kann das Unfallereignis vom 3. September 2005 höchstens als im engeren Sinne mittelschwer qualifiziert werden; insbesondere ist darauf hinzuweisen, dass Frontalkollisionen zu einer geringeren Belastung des Körpers führen als Heckkollisionen (Urteil 8C_1012/2009 vom 5. März 2010 E. 5.1 mit weiteren Hinweisen). Die Adäquanz eines Kausalzusammenhanges wäre somit nur dann zu bejahen, wenn eines der relevanten Adäquanzkriterien in besonders ausgeprägter oder mehrere dieser Kriterien in gehäufter Weise erfüllt wären.</w:t>
      </w:r>
    </w:p>
    <w:p>
      <w:r>
        <w:rPr>
          <w:b/>
        </w:rPr>
        <w:t>E. 7.2</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Gemäss den Vorbringen der Helsana im vorinstanzlichen Verfahren wurde der Versicherte durch das Ereignis aus dem Schlaf gerissen; dies reicht indessen noch nicht, um den Unfall als besonders eindrücklich zu qualifizieren. Das Kriterium ist somit zu verneinen.</w:t>
      </w:r>
    </w:p>
    <w:p>
      <w:r>
        <w:rPr>
          <w:b/>
        </w:rPr>
        <w:t>E. 7.3</w:t>
      </w:r>
    </w:p>
    <w:p>
      <w:r>
        <w:t>Selbst wenn man, entgegen dem Gutachten des Instituts Y.________, aber im Einklang mit den Berichten des Dr. med. N.________ vom 16. Dezember 2005 und vom 5. Oktober 2008 davon ausgehen würde, der Versicherte habe beim Ereignis vom 3. September 2005 neben der Thoraxkontusion auch eine Fraktur des BWK 7 mit keilförmiger Deformierung erlitten (vgl. E. 6.1 hievor), so wären die erlitten Verletzungen nicht als von solcher Schwere oder von solch besonderer Art zu werten, dass sich die Bejahung dieses Kriterium rechtfertigen würde.</w:t>
      </w:r>
    </w:p>
    <w:p>
      <w:r>
        <w:rPr>
          <w:b/>
        </w:rPr>
        <w:t>E. 7.4</w:t>
      </w:r>
    </w:p>
    <w:p>
      <w:r>
        <w:t>Auch die übrigen Kriterien sind zu verneinen: Eine ungewöhnlich lange Dauer der ärztlichen Behandlung liegt nicht vor; eine ärztliche Fehlbehandlung, welche die Unfallfolgen erheblich verschlimmert hätte, wurde von keiner Seite geltend gemacht. Zur Bejahung des Kriteriums des schwierigen Heilungsverlaufes und der erheblichen Komplikationen bedürfte es des Nachweises besonderer Gründe, welche die Heilung beeinträchtigt haben (vgl. Urteil 8C_349/2009 vom 17. August 2009 E. 5.3). Solche sind vorliegend nicht ersichtlich. Gemäss dem Gutachten des Instituts Y.________ sind die vom Versicherten geltend gemachten Schmerzen nicht auf eine organisch nachweisbare Gesundheitsschädigung zurückzuführen, so dass sie im Rahmen der Adäquanzprüfung nach BGE 115 V 33 unbeachtet bleiben müssen. Gleiches gilt von der geltend gemachten Arbeitsunfähigkeit.</w:t>
      </w:r>
    </w:p>
    <w:p>
      <w:r>
        <w:rPr>
          <w:b/>
        </w:rPr>
        <w:t>E. 7.5</w:t>
      </w:r>
    </w:p>
    <w:p>
      <w:r>
        <w:t>Liegt somit keines der massgeblichen Kriterien vor, so ist der Kausalzusammenhang zwischen dem Unfallereignis vom 3. September 2005 und den über den 12. Dezember 2006 hinaus anhaltend geklagten Beschwerden zu verneinen; somit war die Leistungseinstellung der SWICA auf dieses Datum hin rechtens. Die Beschwerde des Versicherungsträgers ist demnach gutzuheissen und Dispositivziffer 1 Absatz 1 und Dispositivziffer 3 des vorinstanzlichen Entscheides sind aufzuheben.</w:t>
      </w:r>
    </w:p>
    <w:p>
      <w:r>
        <w:rPr>
          <w:b/>
        </w:rPr>
        <w:t>E. 8</w:t>
      </w:r>
    </w:p>
    <w:p>
      <w:r>
        <w:t>War die Leistungseinstellung auf den 12. Dezember 2006 hin rechtens, so ist die Beschwerde des Versicherten, soweit mit dieser Taggeldleistungen ab 1. September 2007 verlangt, ohne Weiteres abzuweisen.</w:t>
      </w:r>
    </w:p>
    <w:p>
      <w:r>
        <w:rPr>
          <w:b/>
        </w:rPr>
        <w:t>E. 9</w:t>
      </w:r>
    </w:p>
    <w:p>
      <w:r>
        <w:t>Bezüglich der unentgeltlichen Rechtspflege in den Einspracheverfahren verlangte die SWICA mit Schreiben vom 30. Oktober 2007 vom Versicherten weitere Unterlagen. Wie sich aus der Rechtsverzögerungsbeschwerde an das kantonale Gericht vom 18. Dezember 2007 ergibt, hat der Versicherte dieses Schreiben tatsächlich erhalten; er unterliess es jedoch, der Versicherung weitere Unterlagen einzureichen. Somit ist nicht zu beanstanden, dass diese die Gesuche des Versicherten nicht guthiess ( BGE 120 Ia 179 E. 3a S. 181, vgl. auch Urteil 9C_951/2008 vom 20. März 2009 E. 5.4.2.1); daran ändert auch der Umstand nichts, dass die SWICA die notwendigen Informationen allenfalls durch Amts- oder Rechtshilfe hätte erhältlich machen können. Die Beschwerde des Versicherten ist somit auch in diesem Punkt abzuweisen.</w:t>
      </w:r>
    </w:p>
    <w:p>
      <w:r>
        <w:rPr>
          <w:b/>
        </w:rPr>
        <w:t>E. 10.1</w:t>
      </w:r>
    </w:p>
    <w:p>
      <w:r>
        <w:t>Da der Beschwerdeführer materiell unterliegt, wird sein Begehren um Zusprechung einer höheren Parteientschädigung für das vorinstanzliche Verfahren gegenstandslos. Die Sache ist jedoch zur Festsetzung der Entschädigung des unentgelichen Anwalts in den kantonalen Verfahren an die Vorinstanz zurückzuweisen.</w:t>
      </w:r>
    </w:p>
    <w:p>
      <w:r>
        <w:rPr>
          <w:b/>
        </w:rPr>
        <w:t>E. 10.2</w:t>
      </w:r>
    </w:p>
    <w:p>
      <w:r>
        <w:t>Dem Ausgang der Verfahren entsprechend sind die Gerichtskosten dem Versicherten aufzuerlegen ( Art. 66 Abs. 1 BGG ). Seinen Gesuche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