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8C_983/2012 vom 8. Mai 2013</w:t>
      </w:r>
    </w:p>
    <w:p>
      <w:r>
        <w:t>Bundesgericht, 2013-05-08, DE</w:t>
      </w:r>
    </w:p>
    <w:p>
      <w:r>
        <w:rPr>
          <w:b/>
        </w:rPr>
        <w:t xml:space="preserve">Quelle: </w:t>
      </w:r>
      <w:r>
        <w:t>https://mcp.opencaselaw.ch/entscheid/bger_8C_983_2012</w:t>
      </w:r>
    </w:p>
    <w:p>
      <w:r>
        <w:t>FR: TF 8C_983/2012 du 8 mai 2013</w:t>
      </w:r>
    </w:p>
    <w:p>
      <w:r>
        <w:t>IT: TF 8C_983/2012 del 8 maggio 2013</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t>Bei Beschwerden gegen vorsorgliche Massnahmen kann nur die Verletzung verfassungsmässiger Rechte gerügt werden ( Art. 98 BGG ).</w:t>
      </w:r>
    </w:p>
    <w:p>
      <w:r>
        <w:t>Das Bundesgericht prüft die Verletzung von Grundrechten und verfassungsmässigen 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Soweit die IV-Stelle einen materiellen Antrag im Sinne der Bestätigung der Rentenaufhebung stellt, kann darauf nicht eingetreten werden. Denn mit dem Rückweisungsentscheid zur weiteren medizinischen Abklärung wird ihr Ermessensspielraum bezüglich des Rentenanspruchs nicht in unzulässiger Weise eingeschränkt (vgl. zum Ganzen BGE 133 V 477 ).</w:t>
      </w:r>
    </w:p>
    <w:p>
      <w:r>
        <w:t>Entscheide über die aufschiebende Wirkung sind Entscheide über vorsorgliche Massnahmen im Sinne von Art. 98 BGG (SVR 2012 IV Nr. 40 S. 151 E. 4.1 mit Hinweisen, 9C_652/2011). Somit kann diesbezüglich nur die Verletzung verfassungsmässiger Rechte gerügt werden ( Art. 98 BGG ). Vorliegend hat die Vorinstanz entgegen der Verfügung der IV-Stelle im Sinne einer vorsorglichen Massnahme die Weiterausrichtung der bisherigen Rente während des Abklärungsverfahrens angeordnet. Die IV-Stelle macht vor Bundesgericht eine Verletzung der Begründungspflicht nach Art. 29 Abs. 2 BV geltend. In diesem Punkt ist demnach auf die Beschwerde einzutreten.</w:t>
      </w:r>
    </w:p>
    <w:p>
      <w:r>
        <w:rPr>
          <w:b/>
        </w:rPr>
        <w:t>E. 3</w:t>
      </w:r>
    </w:p>
    <w:p>
      <w:r>
        <w:t>Die IV-Stelle beantragt, die Anweisung der Vorinstanz, wonach die bisherige Rente auch während des weiteren Abklärungsverfahrens auszuzahlen sei, sei aufzuheben. Sie macht geltend, der vorinstanzliche Entscheid lasse jegliche Begründung, weshalb die Weiterausrichtung gerechtfertigt sein soll, vermissen. Namentlich habe die Vorinstanz nicht begründet, weshalb die konstante Rechtsprechung zur Dauer des Entzugs der aufschiebenden Wirkung in Zusammenhang mit erstinstanzlichen Rückweisungsentscheiden vorliegend keine Anwendung finde. Streitig und zu prüfen ist damit einzig, ob die Vorinstanz ihre Begründungspflicht nach Art. 29 Abs. 2 BV bezüglich der Wiedererteilung der aufschiebenden Wirkung verletzt hat.</w:t>
      </w:r>
    </w:p>
    <w:p>
      <w:r>
        <w:rPr>
          <w:b/>
        </w:rPr>
        <w:t>E. 4</w:t>
      </w:r>
    </w:p>
    <w:p>
      <w:r>
        <w:t>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 BGE 129 V 370 ) und das Bundesgericht im Jahr 2010 (SVR 2011 IV Nr. 33 S. 96 mit Hinweisen, 8C_451/2010) bestätigt. Eine Aufhebung des von der Verwaltung angeordneten Entzugs der aufschiebenden Wirkung ist demnach in Ausnahmefällen zulässig. Ob eine solche Ausnahme vorliegt, hat das erstinstanzliche Gericht zu prüfen und gestützt auf Art. 29 Abs. 2 BV (und Art. 61 lit. h ATSG ) wenigstens in den Grundzügen zu begründen ( BGE 136 I 184 E. 2.2.1 S. 188, 229 E. 5.2 S. 236).</w:t>
      </w:r>
    </w:p>
    <w:p>
      <w:r>
        <w:t>Im hier zu beurteilenden Fall lässt die Vorinstanz jegliche Begründung für die Weiterausrichtung der bisherigen Rente im Sinne einer Wiederherstellung der aufschiebenden Wirkung vermissen. Es findet sich nicht einmal ein theoretischer Hinweis auf die entsprechenden Bestimmungen und Grundsätze. Somit kann dem vorinstanzlichen Entscheid nicht entnommen werden, ob er unter Ausserachtlassung der diesbezüglichen Rechtsfrage und der dazu ergangenen Rechtsprechung gefällt worden ist oder ob die Vorinstanz von einer rechtsmissbräuchlichen Provozierung eines möglichst frühen Revisionszeitpunktes durch die Verwaltung ausgegangen ist; bezüglich letzterem hätte sie zumindest auch anzugeben, gestützt auf welche Umstände sie die hohen Anforderungen an einen Rechtsmissbrauch als gegeben erachtet. Damit liegt nicht nur eine Verletzung der Begründungspflicht von Art. 29 Abs. 2 BV vor, sondern auch eine Verletzung des Willkürverbots von Art. 9 BV .</w:t>
      </w:r>
    </w:p>
    <w:p>
      <w:r>
        <w:t>Dadurch verunmöglicht die Vorinstanz die Aufgabe der IV-Stelle (die Durchsetzung des Bundesrechts), da diese keine Kenntnis erhält, inwiefern ihre Handhabung des Bundesrechts nicht korrekt sein soll. Angesichts der fundamentalen Bedeutung der Verfahrensgrundrechte für den Rechtsstaat (vgl. dazu etwa Schweizer, in: Ehrenzeller et al., Die Schweizerische Bundesverfassung, 2. Aufl. 2008, N. 21 Vorbemerkungen zu Art. 7-36 BV sowie Steinmann, Ehrenzeller et al., Die Schweizerische Bundesverfassung, 2. Aufl. 2008, N. 3 f. zu Art. 29 BV ) kann die IV-Stelle gestützt auf diesen objektiven Gehalt von Art. 29 Abs. 2 BV eine Verletzung der Begründungspflicht durch die Vorinstanz rügen (vgl. dazu auch BGE 134 IV 36 E. 1.4 S. 39 sowie Kiener/Kälin, Grundrechte, 2007, § 38 III. 1. in fine, S. 405). In diesem Zusammenhang ist auch zu bedenken, dass eine spätere Überprüfung der Frage angesichts der Stellung der IV-Stelle als verfügende Behörde prozessual ausgeschlossen ist (vgl. dazu Schott, Basler Kommentar, Bundesgerichtsgesetz, 2. Aufl. 2011, N. 10 zu Art. 98). Die Sache ist demnach unter Aufhebung des kantonalen Entscheids in diesem Punkt an die Vorinstanz zu neuer Entscheidung zurückzuweisen.</w:t>
      </w:r>
    </w:p>
    <w:p>
      <w:r>
        <w:rPr>
          <w:b/>
        </w:rPr>
        <w:t>E. 5</w:t>
      </w:r>
    </w:p>
    <w:p>
      <w:r>
        <w:t>Mit dem Entscheid in der Sache wird das Gesuch um aufschiebende Wirkung der Beschwerde gegenstandslos.</w:t>
      </w:r>
    </w:p>
    <w:p>
      <w:r>
        <w:rPr>
          <w:b/>
        </w:rPr>
        <w:t>E. 6</w:t>
      </w:r>
    </w:p>
    <w:p>
      <w:r>
        <w:t>Aufgrund der Umstände verzichtet das Bundesgericht vorliegend auf die Erhebung von Gerichtskosten ( Art. 66 Abs. 1 Satz 2 BGG ). Die teilweise obsiegende Beschwerdegegnerin hat dem Ausgang des Verfahrens entsprechend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