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982/2009 vom 5. Juli 2010</w:t>
      </w:r>
    </w:p>
    <w:p>
      <w:r>
        <w:t>Bundesgericht, 2010-07-05, FR</w:t>
      </w:r>
    </w:p>
    <w:p>
      <w:r>
        <w:rPr>
          <w:b/>
        </w:rPr>
        <w:t xml:space="preserve">Quelle: </w:t>
      </w:r>
      <w:r>
        <w:t>https://mcp.opencaselaw.ch/entscheid/bger_8C_982_2009</w:t>
      </w:r>
    </w:p>
    <w:p>
      <w:r>
        <w:t>FR: TF 8C 982/2009 du 5 juillet 2010</w:t>
      </w:r>
    </w:p>
    <w:p>
      <w:r>
        <w:t>IT: TF 8C 982/2009 del 5 luglio 2010</w:t>
      </w:r>
    </w:p>
    <w:p>
      <w:pPr>
        <w:pStyle w:val="Heading2"/>
      </w:pPr>
      <w:r>
        <w:t>Regeste</w:t>
      </w:r>
    </w:p>
    <w:p>
      <w:r>
        <w:t>Assurance-accidents | Assurance-accidents</w:t>
      </w:r>
    </w:p>
    <w:p>
      <w:pPr>
        <w:pStyle w:val="Heading2"/>
      </w:pPr>
      <w:r>
        <w:t>Erwägungen</w:t>
      </w:r>
    </w:p>
    <w:p>
      <w:r>
        <w:rPr>
          <w:b/>
        </w:rPr>
        <w:t>E. 1.1</w:t>
      </w:r>
    </w:p>
    <w:p>
      <w:r>
        <w:t>La décision attaquée, qui suspend la procédure opposant M.________ à la caisse, est une décision incidente rendue dans une cause de droit public (cf. BERNARD CORBOZ, in Commentaire de la LTF, n. 14 ad 93 LTF). Une telle décision ne peut être examinée par le Tribunal fédéral que si elle peut causer un préjudice irréparable ( art. 93 al. 1 let. a LTF ), ou si l'admission du recours peut conduire immédiatement à une décision finale qui permet d'éviter une procédure probatoire longue et coûteuse ( art. 93 al. 1 let. b LTF ). Il est manifeste que la seconde hypothèse n'entre pas en considération ici, de sorte qu'il convient uniquement d'examiner si le recours est recevable au regard de l' art. 93 al. 1 let. a LTF .</w:t>
      </w:r>
    </w:p>
    <w:p>
      <w:r>
        <w:rPr>
          <w:b/>
        </w:rPr>
        <w:t>E. 1.2</w:t>
      </w:r>
    </w:p>
    <w:p>
      <w:r>
        <w:t>Le Tribunal fédéral s'est récemment prononcé sur la recevabilité d'un recours contre une décision de suspension en matière pénale ( ATF 134 IV 43 ). Se référant à la pratique développée sous l'empire de l'ancienne OJ, il a fait la distinction entre les cas où une violation du principe de célérité est invoquée, des autres cas où la mesure de suspension est critiquée pour elle-même. Il a retenu qu'il peut être renoncé à l'exigence d'un préjudice irréparable dans la première hypothèse, en précisant que cette exception s'applique essentiellement aux cas où la suspension de procédure est prononcée sine die, pour une durée indéterminée ou lorsque la reprise de la procédure dépend d'un événement incertain sur lequel les parties n'ont aucune prise. Il a rappelé à cette occasion qu'il incombe à la partie qui critique une décision ordonnant la suspension d'une procédure d'indiquer clairement l'objet de la contestation. Si la suspension critiquée intervient à un stade de la procédure où il est évident que le principe de la célérité n'a pas été violé, et que la partie recourante ne prétend pas être nécessairement exposée au risque, à terme, d'une violation de la garantie du jugement dans un délai raisonnable ( art. 29 al. 1 Cst. ), il faut considérer que la contestation ne porte pas sur l'application de cette dernière garantie. En pareil cas, le Tribunal fédéral n'est pas saisi d'un recours pour déni de justice formel, à cause d'un refus de statuer, mais d'un recours pour violation d'autres garanties constitutionnelles en relation avec l'application du droit cantonal de procédure. Le recours est alors soumis aux conditions de recevabilité de l' art. 93 al. 1 LTF . Ces principes valent également pour la présente procédure.</w:t>
      </w:r>
    </w:p>
    <w:p>
      <w:r>
        <w:rPr>
          <w:b/>
        </w:rPr>
        <w:t>E. 1.3</w:t>
      </w:r>
    </w:p>
    <w:p>
      <w:r>
        <w:t>En l'espèce, la recourante fait valoir que la décision de suspension du 22 octobre 2009 est de nature à entraîner un retard inadmissible dans le traitement de son recours sur le fond dès lors que cette décision a été prononcée pour une durée indéterminée sur laquelle elle-même n'a aucune prise («jusqu'à droit connu sur le procès pénal»). Elle invoque le fait que la procédure pénale vient à peine de débuter et que celle-ci pourrait encore durer longtemps vu les questions délicates qu'elle est susceptible de soulever, par exemple en ce qui concerne sa responsabilité pénale. Enfin, la recourante soutient que dans la mesure où l'objet des procédures administrative et pénale est différent tant sur le plan des faits que du droit, celles-ci se distinguent également par les mesures nécessaires à leur instruction et par la possibilité des parties d'y participer pour faire avancer la procédure.</w:t>
      </w:r>
    </w:p>
    <w:p>
      <w:r>
        <w:rPr>
          <w:b/>
        </w:rPr>
        <w:t>E. 1.4</w:t>
      </w:r>
    </w:p>
    <w:p>
      <w:r>
        <w:t>D'après cette argumentation, on se trouve clairement dans la situation où la décision de suspension est critiquée parce qu'elle est susceptible de conduire à une violation du principe de célérité, de sorte que le recours sera considéré comme recevable conformément à la jurisprudence précitée. Il convient donc d'entrer en matière.</w:t>
      </w:r>
    </w:p>
    <w:p>
      <w:r>
        <w:rPr>
          <w:b/>
        </w:rPr>
        <w:t>E. 2.1</w:t>
      </w:r>
    </w:p>
    <w:p>
      <w:r>
        <w:t>Aux termes de l' art. 29 al. 1 Cst. ,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 ATF 131 V 407 consid. 1.1 p. 409; 130 I 312 consid. 5.1 p. 331; 129 V 411 consid. 1.2 p. 416 et les arrêts cités).</w:t>
      </w:r>
    </w:p>
    <w:p>
      <w:r>
        <w:rPr>
          <w:b/>
        </w:rPr>
        <w:t>E. 2.2</w:t>
      </w:r>
    </w:p>
    <w:p>
      <w:r>
        <w:t>Une suspension de procédure comporte le risque de retarder inutilement la procédure, de sorte qu'elle ne doit être admise qu'avec retenue - c'est-à-dire lorsqu'elle se fonde sur des motifs objectifs - eu égard à l'exigence de célérité posée par l' art. 29 al. 1 Cst. (cf. ATF 130 V 90 consid. 5 p. 95). Selon la jurisprudence, peuvent constituer de tels motifs le fait de permettre la mise en oeuvre de mesures d'instruction opportunes ( ATF 127 V 228 consid. 2a p. 231) ou d'attendre la décision d'une autre autorité qui permettrait de trancher une question décisive pour l'issue du litige dans un délai raisonnable ( ATF 119 II 386 consid. 1b p. 389). Une suspension peut également se justifier par des motifs d'économie de procédure, par exemple pour éviter un enchevêtrement des procédures et la répétition de mesures d'instruction par les différentes juridictions saisies (Pra 1996 no 141 p. 473 consid. 3b). Le juge saisi dispose d'une certaine marge d'appréciation, dont il doit faire usage en procédant à une pesée des intérêts des parties. Dans les cas limites ou douteux, le principe de célérité prime ( ATF 130 V 90 consid. 5 p. 95). Cela vaut d'autant plus, en droit des assurances sociales, que l' art. 61 let. a LPGA exige une procédure simple et rapide devant les tribunaux cantonaux des assurances.</w:t>
      </w:r>
    </w:p>
    <w:p>
      <w:r>
        <w:rPr>
          <w:b/>
        </w:rPr>
        <w:t>E. 2.3</w:t>
      </w:r>
    </w:p>
    <w:p>
      <w:r>
        <w:t>La caisse ne cite aucune disposition légale à l'appui de sa décision sur opposition mais se réfère aux faits décrits dans les rapports d'observation du détective privé qui démontrent, selon elle, que M.________ avait recouvré, contrairement aux conclusions auxquelles étaient parvenus les médecins qui l'avaient examinée, une capacité de travail, respectivement une capacité de gain, suffisante pour justifier la suppression pure et simple de toute prestation au 1er juillet 2007 et le remboursement des montants perçus à tort. Ce faisant, la caisse invoque la découverte d'un motif de révision procédurale lui permettant de révoquer les décisions matérielles par lesquelles elle a alloué les prestations d'assurance et d'en demander la restitution (cf. art. 53 al. 1 et 25 al. 1 LPGA). Il s'agira donc pour le tribunal cantonal d'examiner si les conditions d'une révision procédurale sont données, ensuite, si les prestations ont été allouées à tort et, enfin, si la caisse a le droit d'en obtenir la restitution. L'instruction pénale porte, quant à elle, sur une éventuelle escroquerie ( art. 146 CP ) dont M.________ se serait rendue coupable au détriment de la caisse. Dans les deux procédures, se pose la question de savoir si l'intéressée avait ou non droit aux prestations d'assurance qu'elle a reçues, ce qui implique un réexamen de son cas au regard des circonstances révélées par l'enquête du détective privé. Certes, une éventuelle condamnation de M.________ au pénal conduirait à admettre qu'une partie au moins des prestations aurait été allouée à tort sur la base de renseignements médicaux erronés. Cela étant, il n'est pas certain que l'autorité pénale estimera nécessaire de se prononcer précisément sur le taux d'incapacité de travail et de gain de la prénommée, ce qui obligerait le tribunal cantonal à compléter l'instruction au plan médical et économique sur ce point. Mais surtout, le juge des assurances sociales est mieux placé que le juge pénal pour procéder à une nouvelle évaluation de l'incapacité de travail et de gain de l'assurée, qui relève de son domaine de compétence. Un acquittement ne signifierait pas non plus forcément qu'il n'y a pas matière à révision dans la procédure administrative étant donné la condition de la tromperie astucieuse pour retenir l'escroquerie. Enfin, rien au dossier n'indique, ne serait-ce qu'approximativement, dans quel délai la procédure pénale prendrait fin. A ce stade, il ressort du dossier que le juge d'instruction a interrogé M.________, la femme de ménage qui venait aider celle-ci à domicile, ainsi que le docteur B.________. Or, le tribunal cantonal pourrait entendre ces témoignages sans difficultés particulières. Dans ces conditions, il n'était pas fondé à considérer - au demeurant sans procéder à une pesée des intérêts en présence - que l'issue de la procédure pénale en cours lui permettrait de trancher une question décisive pour le litige dont il est saisi dans un délai raisonnable. Il s'ensuit que le recours doit être admis. Il y a lieu d'annuler la décision attaquée et d'inviter la juridiction cantonale à poursuivre l'instruction de la cause.</w:t>
      </w:r>
    </w:p>
    <w:p>
      <w:r>
        <w:rPr>
          <w:b/>
        </w:rPr>
        <w:t>E. 3</w:t>
      </w:r>
    </w:p>
    <w:p>
      <w:r>
        <w:t>Les frais de la procédure doivent être mis à la charge de l'intimée, qui succombe ( art. 66 al. 1 LTF ). La recourante, qui est représentée par un avocat, peut prétendre une indemnité de dépens ( art. 68 al. 2 LTF ). Par conséquent, sa requête d'assistance judiciaire pour l'instance fédérale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