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8C_97/2023 vom 16. Februar 2023</w:t>
      </w:r>
    </w:p>
    <w:p>
      <w:r>
        <w:t>Bundesgericht, 2023-02-16, DE</w:t>
      </w:r>
    </w:p>
    <w:p>
      <w:r>
        <w:rPr>
          <w:b/>
        </w:rPr>
        <w:t xml:space="preserve">Quelle: </w:t>
      </w:r>
      <w:r>
        <w:t>https://mcp.opencaselaw.ch/entscheid/bger_8C_97_2023</w:t>
      </w:r>
    </w:p>
    <w:p>
      <w:r>
        <w:t>FR: TF 8C_97/2023 du 16 février 2023</w:t>
      </w:r>
    </w:p>
    <w:p>
      <w:r>
        <w:t>IT: TF 8C_97/2023 del 16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gemäss postamtlicher Bescheinigung am 16. Januar 2023 eröffnetem Urteil vom 22. Dezember 2022 bestätigt das Versicherungsgericht des Kantons Solothurn die Verfügung der kantonalen IV-Stelle vom 9. Mai 2022 betreffend berufliche Massnahme und Invalidenrente.</w:t>
      </w:r>
    </w:p>
    <w:p>
      <w:r>
        <w:rPr>
          <w:b/>
        </w:rPr>
        <w:t>E. 3</w:t>
      </w:r>
    </w:p>
    <w:p>
      <w:r>
        <w:t>Mit Eingabe vom 10. Februar 2023 (Poststempel) ersucht der Beschwerdeführer in einem Fünfzeiler das Bundesgericht, das Urteil des kantonalen Gerichts zu prüfen. Anträge in der Sache stellt er keine. Weshalb das kantonale Gerichtsurteil überprüft werden soll, legt er ebenso wenig dar. Hingegen stellt er in Aussicht, "Allfällige Begründungen folgen später".</w:t>
      </w:r>
    </w:p>
    <w:p>
      <w:r>
        <w:rPr>
          <w:b/>
        </w:rPr>
        <w:t>E. 4</w:t>
      </w:r>
    </w:p>
    <w:p>
      <w:r>
        <w:t>Damit ist innert der gemäss Art. 44 - 48 BGG am 15. Februar 2023 abgelaufenen, nicht erstreckbaren Rechtsmittelfrist von 30 Tagen ( Art. 47 Abs. 1, Art. 100 Abs. 1 BGG ) offensichtlich keine, den Minimalanforderungen nach Art. 42 Abs. 1 und 2 BGG genügende, Beschwerde erhoben worden, was zu einem Nichteintreten im vereinfachten Verfahren nach Art. 108 Abs. 1 lit. b BGG führt.</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