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8C_97/2008 vom 29. Januar 2009</w:t>
      </w:r>
    </w:p>
    <w:p>
      <w:r>
        <w:t>Bundesgericht, 2009-01-29, DE</w:t>
      </w:r>
    </w:p>
    <w:p>
      <w:r>
        <w:rPr>
          <w:b/>
        </w:rPr>
        <w:t xml:space="preserve">Quelle: </w:t>
      </w:r>
      <w:r>
        <w:t>https://mcp.opencaselaw.ch/entscheid/bger_8C_97_2008</w:t>
      </w:r>
    </w:p>
    <w:p>
      <w:r>
        <w:t>FR: TF 8C_97/2008 du 29 janvier 2009</w:t>
      </w:r>
    </w:p>
    <w:p>
      <w:r>
        <w:t>IT: TF 8C_97/2008 del 29 gennaio 2009</w:t>
      </w:r>
    </w:p>
    <w:p>
      <w:pPr>
        <w:pStyle w:val="Heading2"/>
      </w:pPr>
      <w:r>
        <w:t>Erwägungen</w:t>
      </w:r>
    </w:p>
    <w:p>
      <w:r>
        <w:rPr>
          <w:b/>
        </w:rPr>
        <w:t>E. 1</w:t>
      </w:r>
    </w:p>
    <w:p>
      <w:r>
        <w:t>Die Beschwerde in öffentlich-rechtlichen Angelegenheiten ( Art. 82 ff. BGG ) kann wegen Rechtsverletzung im Sinne von Art. 95 f. BGG erhoben werden. Das Bundesgericht legt seinem Urteil den Sachverhalt zugrunde, den die Vorinstanz festgestellt hat ( Art. 105 Abs. 1 BGG ). Es kann deren Sachverhaltsfeststellung berichtigen oder ergänzen, wenn sie offensichtlich unrichtig ist oder auf einer Rechtsverletzung im Sinne von Artikel 95 beruht ( Art. 105 Abs. 2 BGG ).</w:t>
      </w:r>
    </w:p>
    <w:p>
      <w:r>
        <w:rPr>
          <w:b/>
        </w:rPr>
        <w:t>E. 2.1</w:t>
      </w:r>
    </w:p>
    <w:p>
      <w:r>
        <w:t>Es ist unbestritten, dass die Beschwerdeführerin ihren zivilrechtlichen Wohnsitz in X.________ hat, ihr Unterstützungswohnsitz aber in Y.________ liegt (Art. 7 Abs. 3 lit. c des Bundesgesetzes vom 24. Juni 1977 über die Zuständigkeit für die Unterstützung Bedürftiger; ZUG; SR 851.1). Demnach liegt die eher unübliche Konstellation vor, in welcher zivil- und sozialhilferechtlicher Wohnsitz nicht zusammenfallen. Es ist denn auch nicht die Frage des Kostenersatzes nach ZUG streitig. Zu entscheiden ist vielmehr, ob die Beschwerdegegnerin als zuständige Behörde am Unterstützungswohnsitz für die Kosten der Umplatzierung vom Heim C.________ ins Internat B.________ gestützt auf den Beschluss der Vormundschaftsbehörde X.________ vom 16. November 2006 aufzukommen hat. Es geht somit um den Anspruch der Beschwerdeführerin auf Übernahme der Kosten des Internats B.________ gemäss kantonalem Sozialhilferecht.</w:t>
      </w:r>
    </w:p>
    <w:p>
      <w:r>
        <w:rPr>
          <w:b/>
        </w:rPr>
        <w:t>E. 2.2</w:t>
      </w:r>
    </w:p>
    <w:p>
      <w:r>
        <w:t>Nach Art. 308 Abs. 1 in Verbindung mit Art. 310 Abs. 2 ZGB wird die unmündige Beschwerdeführerin nicht durch ihre Eltern resp. die Mutter vertreten, sondern durch ihre Beiständin (Übertragung der Beistandschaft an X.________ gemäss Beschluss der Vormundschaftsbehörde Y.________ vom 11. September 2006). Diese wiederum benötigt für die Führung eines Prozesses die Zustimmung der Vormundschaftsbehörden (Art. 421 Ziff. 8 in Verbindung mit Art. 367 Abs. 3 ZGB ). Dabei handelt es sich nach der Lehre lediglich um eine Zustimmung, nicht jedoch um eine Vertretung durch die Vormundschaftsbehörde; d.h. der Vormund (resp. die Beiständin) führen den Prozess nach Einholung der Zustimmung selbst (MEIER, Le consentement des autorités de tutelle aux actes du tuteur, Diss. Freiburg i.Ü. 1994, S. 91, 169 und 391 ff.; GEISER, in: Honsell/Vogt/Geiser [Hrsg.], Basler Kommentar, Zivilgesetzbuch I, 3. Aufl., Basel 2006, N 2 zu Art. 421/422).</w:t>
      </w:r>
    </w:p>
    <w:p>
      <w:r>
        <w:t>Sowohl im Verwaltungsverfahren als auch vor Vorinstanz hat die Vormundschaftsbehörde X.________ den Prozess geführt. Die Frage nach der Ermächtigung zur Prozessführung durch die Beiständin ist nie gestellt worden. Angesichts der Sach- und Aktenlage ist jedoch von ihrer (stillschweigenden) Zustimmung zur Prozessführung der Vormundschaftsbehörde auszugehen. Dasselbe gilt für das vorliegende Verfahren.</w:t>
      </w:r>
    </w:p>
    <w:p>
      <w:r>
        <w:rPr>
          <w:b/>
        </w:rPr>
        <w:t>E. 3</w:t>
      </w:r>
    </w:p>
    <w:p>
      <w:r>
        <w:t>Die Beschwerdegegnerin macht geltend, ihr rechtliches Gehör sei verletzt worden, da "die für eine Umplatzierung übliche Mitwirkung der fürsorgeunterstützungsrechtlich verantwortlichen Stadt Y.________ nicht eingeholt" worden sei. Diese formelle Rüge ist vorweg zu prüfen.</w:t>
      </w:r>
    </w:p>
    <w:p>
      <w:r>
        <w:rPr>
          <w:b/>
        </w:rPr>
        <w:t>E. 3.1</w:t>
      </w:r>
    </w:p>
    <w:p>
      <w:r>
        <w:t>Nach Art. 310 Abs. 1 und 2 in Verbindung mit Art. 315 Abs. 1 ZGB hat die Vormundschaftsbehörde am Wohnort des Kindes über dessen Unterbringung zu entscheiden, wenn seiner Gefährdung nicht anders begegnet werden kann und das Verhältnis zwischen Eltern und Kind so schwer gestört ist, dass sein Verbleiben in deren Haushalt unzumutbar geworden ist. Sie hat ihren Entscheid über eine allfällige (Um-) Platzierung alleine am Kindeswohl auszurichten (vgl. dazu BREITSCHMID, in: Honsell/Vogt/Geiser [Hrsg.], a.a.O., N 16 zu Art. 310, BIDERBOST, in: Amstutz et al. [Hrsg.], Handkommentar zum Schweizer Privatrecht, Zürich 2007, N 1 ff. zu Art. 310, sowie HÄFELI, Die Aufhebung der elterlichen Obhut nach Art. 310 ZGB , ZVW 2001 111 ff., S. 117). Der Begriff des Kindeswohls lässt sich nicht allgemein konkretisieren. Er ist je nach der sich stellenden Frage (z.B. Neuregelung der elterlichen Sorge, Besuchsrecht, Adoption) und den konkreten Umständen des Einzelfalls verschieden. Zum Teil nennt das Gesetz auch nur einen Aspekt des Kindeswohls als Kriterium (z.B. Interesse des Kindes in Art. 288 Abs. 1 ZGB oder Entwicklung des Kindes in Art. 310 Abs. 3 ZGB ). Der Inhalt des Kindeswohls bei Fragen des Kindesschutzes nach Art. 307 ff. ZGB ist nach objektiven Gesichtspunkten zu eruieren (vgl. zum Begriff des Kindeswohls AFFOLTER, in: Honsell/Vogt/Geiser [Hrsg.], a.a.O., N 14 f. zu Art. 405, HEGNAUER, Grundriss des Kindesrechts, 5. Aufl., Bern 1999, Rz. 26.04a ff., BRAUCHLI, Das Kindeswohl als Maxime des Rechts, Diss. Zürich 1982, S. 112 ff., 135 ff., 165 f. und 173 ff., COPUR, Gleichgeschlechtliche Partnerschaft und Kindeswohl, Diss. St. Gallen, Bern 2008, S. 161 ff., sowie WOLF, Die UNO-Konvention über die Rechte des Kindes, ZBJV 1998 113 ff., S. 118).</w:t>
      </w:r>
    </w:p>
    <w:p>
      <w:r>
        <w:rPr>
          <w:b/>
        </w:rPr>
        <w:t>E. 3.2</w:t>
      </w:r>
    </w:p>
    <w:p>
      <w:r>
        <w:t>Nach dem Gesagten war im massgebenden Zeitpunkt allein die Vormundschaftsbehörde X.________ zuständig, im Rahmen des Kindesschutzes einen abschliessenden Entscheid über die Unterbringung des Kindes zu fällen. Sie hatte dabei die beteiligten Personen und Institutionen anzuhören. Die Frage, ob das rechtliche Gehör der Fürsorgebehörde Y.________ im Rahmen der Umplatzierung der Beschwerdeführerin ins Internat B.________ verletzt worden ist, kann indessen vorliegend offenbleiben. Sie wäre im Rahmen des vormundschaftlichen Verfahrens zu beantworten gewesen. Die Fürsorgebehörde Y.________ hätte ihre Rechte in jenem Verfahren wahren müssen. Sie hätte nach Kenntnisnahme des Beschlusses der Vormundschaftsbehörde X.________ vom 16. November 2006 die formelle Zustellung dieser Verfügung verlangen und hernach dagegen Beschwerde erheben können. Dies hat sie jedoch unterlassen. Damit ist der Beschluss vom 16. November 2006 in Rechtskraft erwachsen.</w:t>
      </w:r>
    </w:p>
    <w:p>
      <w:r>
        <w:t>Da eine Verfügung, welche das rechtliche Gehör verletzt, in der Regel nicht nichtig, sondern lediglich anfechtbar ist ( BGE 129 I 361 E. 2.1 S. 363 mit Hinweisen; vgl. auch HÄFELIN/MÜLLER/UHLMANN, Allgemeines Verwaltungsrecht, 5. Aufl., Zürich 2006, Rz. 970), ist im vorliegenden sozialhilferechtlichen Verfahren nicht weiter auf die Frage der Gehörsverletzung einzugehen, sondern es ist die Rechtmässigkeit der in Rechtskraft erwachsenen vormundschaftlichen Massnahme (Unterbringung im Internat B.________) festzustellen.</w:t>
      </w:r>
    </w:p>
    <w:p>
      <w:r>
        <w:t>Im vorliegenden Sozialhilfeverfahren kann die Fürsorgebehörde Y.________ eine Verletzung des rechtlichen Gehörs nicht geltend machen. Als verfügende und damit verfahrensleitende Instanz stand ihr dieser Anspruch jederzeit zu.</w:t>
      </w:r>
    </w:p>
    <w:p>
      <w:r>
        <w:rPr>
          <w:b/>
        </w:rPr>
        <w:t>E. 4.1</w:t>
      </w:r>
    </w:p>
    <w:p>
      <w:r>
        <w:t>Die Vorinstanz hat ausgeführt, Gesuche um Kostengutsprache seien gemäss § 20 Abs. 1 der Zürcher Verordnung zum Sozialhilfegesetz vom 21. Oktober 1981 (SHV; LS 851.11) im Voraus einzureichen und nach § 19 Abs. 3 SHV bestehe bei verspäteter Einreichung des Gesuchs kein Anspruch auf Kostenübernahme. Diese Grundsätze würden aber nicht absolut gelten, sondern nach kantonaler Praxis verwirke bei nachträglich oder verspätet eingereichten Gesuchen der Anspruch auf Sozialhilfe nicht von vornherein; vielmehr habe die Behörde die tatsächlichen Verhältnisse zu ermitteln und zu prüfen, ob eine situationsbedingte Leistung in Frage stehe, auf welche die gesuchstellende Person einen Anspruch besitze. In der Folge sah das kantonale Gericht von weiteren Sachverhaltsabklärungen jedoch ab und wies die Beschwerde mit der Begründung ab, es habe keine therapeutische Indikation für den sofortigen Wechsel vorgelegen und die Vormundschaftsbehörde sei wie jede Behörde, welche eine hilfesuchende Person vertrete, an § 20 Abs. 1 SHV gebunden. Somit sei sie von der Einholung einer vorherigen Kostengutsprache nicht entbunden und hätte der Fürsorgebehörde Y.________ Gelegenheit zur Einbringung ihrer Argumente und Mitentscheidung bei der Platzierung geben müssen. Das Zürcher Sozialhilfegesetz vom 14. Juni 1981 (SHG; LS 851.1) verleihe keinen Anspruch auf Übernahme der Kosten eines bestimmten Therapie- bzw. Heimplatzes.</w:t>
      </w:r>
    </w:p>
    <w:p>
      <w:r>
        <w:rPr>
          <w:b/>
        </w:rPr>
        <w:t>E. 4.2</w:t>
      </w:r>
    </w:p>
    <w:p>
      <w:r>
        <w:t>Die Beschwerdeführerin hält dem entgegen, das Mittel der Mitsprache gebe der Fürsorgebehörde nicht das Recht, rechtmässig gefasste Entscheidungen einer zuständigen Vormundschaftsbehörde noch einmal zu überprüfen und mittels Ablehnung der Kostenübernahme gar zu vereiteln. Damit verletze die Fürsorgebehörde Y.________ nicht nur ihren Anspruch auf einen geeigneten Heimplatz, sondern auch die der Vormundschaftsbehörde X.________ kraft Bundesrecht zustehenden Kompetenzen. Die Auslegung der Vorinstanz von § 15 Abs. 3 und § 16 Abs. 2 SHG sowie § 19 Abs. 3 und § 20 Abs. 1 SHV verstosse gegen Bundeszivil- und -verfassungsrecht (Art. 310 Abs. 1 in Verbindung mit Art. 315 Abs. 1 ZGB ; Art. 9 BV ). Gestützt auf die kantonale Praxis, wonach der Anspruch bei verspäteter Einreichung des Gesuches nicht einfach verwirke, hätte die Vorinstanz das Vorliegen einer situationsbedingten Leistung, auf welche sie Anspruch habe, prüfen müssen. Sie habe nach § 15 Abs. 2 SHG Anspruch auf die notwendige therapeutische Behandlung; da es sich dabei um eine Leistung Dritter im Sinne von § 16 Abs. 3 SHG handle, habe die Fürsorgebehörde in der Regel Gutsprache zu erteilen. Das auf kantonalem Recht beruhende Ermessen der Fürsorgebehörde finde seine Grenzen am übergeordneten Bundesrecht. Die Platzierung der Beschwerdeführerin stelle eine situationsbedingte Leistung dar, auf welche sie gemäss den Normen des Kindesschutzes ( Art. 307 ff. ZGB ), gestützt auf kantonale Bestimmungen über die Sozialhilfe und gemäss dem Recht auf Hilfe in Notlagen ( Art. 12 BV ) einen Anspruch habe.</w:t>
      </w:r>
    </w:p>
    <w:p>
      <w:r>
        <w:rPr>
          <w:b/>
        </w:rPr>
        <w:t>E. 4.3</w:t>
      </w:r>
    </w:p>
    <w:p>
      <w:r>
        <w:t>Wie bereits in E. 3.3 dargelegt, ist die Rechtmässigkeit der Unterbringung im Internat B.________ nicht zu überprüfen. Denn im Rahmen des sozialhilferechtlichen Verfahrens ist nicht über die Begründetheit einer vormundschaftlichen Anordnung zu entscheiden. Zu prüfen ist vielmehr, wer für die Kosten der angeordneten Massnahme aufzukommen hat. Nachdem die Zuständigkeit der Beschwerdegegnerin als Fürsorgebehörde am Unterstützungswohnsitz unbestritten ist (E. 2.1), könnte höchstens gerügt werden, die Unterbringung sei aus sozialhilferechtlicher Sicht rechtsmissbräuchlich, mit der Folge, dass die Fürsorgebehörde Y.________ zwar nicht die Umplatzierung an sich, aber die Übernahme der (anderweitig nicht gedeckten) Kosten für diese Unterbringung ablehnen könnte.</w:t>
      </w:r>
    </w:p>
    <w:p>
      <w:r>
        <w:rPr>
          <w:b/>
        </w:rPr>
        <w:t>E. 4.4</w:t>
      </w:r>
    </w:p>
    <w:p>
      <w:r>
        <w:t>Die Beschwerdegegnerin vermag keine Gründe vorzubringen, welche die Unterbringung der Beschwerdeführerin im Internat B.________ aus sozialhilferechtlicher Sicht als rechtsmissbräuchlich erscheinen lassen würden. Dass eine andere Institution dafür ebenfalls geeignet gewesen wäre, vermag daran nichts zu ändern. Auch der Vorwurf, die Umplatzierung sei nur aus finanziellen Überlegungen erfolgt, ist unbehelflich. Aus den Akten ergibt sich vielmehr, dass der Vorschlag zur Unterbringung im Internat B.________ vom zuvor zuständigen Heim ausgegangen ist, welches ihn einlässlich begründet hat (vgl. Schreiben des Heimes A.________ vom 21. April und 5. Juli 2006). Die Beschwerdeführerin verweist in diesem Zusammenhang zu Recht auf das Sozialbehörden-Handbuch des Kantons Zürich, gemäss welchem den Fürsorgebehörden keine Entscheidungsfreiheit zusteht, wenn die Vormundschaftsbehörde in Anwendung von Bundesrecht Kindesschutzmassnahmen trifft, sondern die Fürsorgebehörde vielmehr verpflichtet ist, die Kosten dieser Massnahmen zu tragen (Kapitel 2.3, Ziff. 21.1).</w:t>
      </w:r>
    </w:p>
    <w:p>
      <w:r>
        <w:rPr>
          <w:b/>
        </w:rPr>
        <w:t>E. 4.5</w:t>
      </w:r>
    </w:p>
    <w:p>
      <w:r>
        <w:t>An diesem Ergebnis ändert auch der Einwand der Beschwerdegegnerin nichts, das Gesuch sei verspätet im Sinne von § 19 Abs. 3 und § 20 Abs. 1 SHV eingereicht worden. Denn unter den gegebenen Umständen bedurfte es keiner vorgängigen Kostengutsprache seitens der Fürsorgebehörde, da kantonale Verfahrensbestimmungen infolge der derogatorischen Kraft des Bundesrechts ( Art. 49 Abs. 1 BV ) nicht dazu führen dürfen, dass die Umsetzung oder Durchführung von Bundesrecht verhindert oder übermässig erschwert wird. Für den hier zu beurteilenden Fall bedeutet dies, dass die Fürsorgebehörde Y.________ nicht mit dem Verweis auf die (allfällige) Verspätung der Gesuchseinreichung die Übernahme der Kosten des Internats B.________ verweigern kann. Vielmehr hat die Beschwerdeführerin Anspruch auf eine ihrer Situation angemessene Betreuung, welche unbestrittenermassen am besten im Rahmen einer stationären Unterbringung erfolgt. Welche Institution dem Kindeswohl gerecht wird, liegt, wie in E. 3 dargelegt, nicht im Ermessen der Beschwerdegegnerin. Somit hat sie als Fürsorgebehörde am Unterstützungswohnsitz für die Kosten des Internats B.________ aufzukommen, soweit diese nicht anderweitig (z.B. IV-Kinderrente, Beitrag der obligatorischen Krankenpflegeversicherung) gedeckt sind.</w:t>
      </w:r>
    </w:p>
    <w:p>
      <w:r>
        <w:rPr>
          <w:b/>
        </w:rPr>
        <w:t>E. 5</w:t>
      </w:r>
    </w:p>
    <w:p>
      <w:r>
        <w:t>Das Verfahren ist kostenpflichtig. Die unterliegende Fürsorgebehörde Y.________ hat demnach die Gerichtskosten zu tragen ( Art. 66 Abs. 1 BGG ), da es um ihr Vermögensinteresse geht und sie sich folglich nicht auf Art. 66 Abs. 4 BGG berufen kann (vgl. Urteile 2A.253/2003 vom 23. September 2003, E. 4, und 2A.134/2006 vom 29. Juni 2006, E. 5.2 sowie GEISER, in: Niggli/Uebersax/Wiprächtiger [Hrsg.], Basler Kommentar, Bundesgerichtsgesetz, Basel 2008, N 26 ff. zu Art. 66). Bei diesem Ausgang des Verfahrens hat die Beschwerdeführerin Anspruch auf eine Parteientschädigung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