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979/2009 vom 1. November 2010</w:t>
      </w:r>
    </w:p>
    <w:p>
      <w:r>
        <w:t>Bundesgericht, 2010-11-01, DE</w:t>
      </w:r>
    </w:p>
    <w:p>
      <w:r>
        <w:rPr>
          <w:b/>
        </w:rPr>
        <w:t xml:space="preserve">Quelle: </w:t>
      </w:r>
      <w:r>
        <w:t>https://mcp.opencaselaw.ch/entscheid/bger_8C_979_2009</w:t>
      </w:r>
    </w:p>
    <w:p>
      <w:r>
        <w:t>FR: TF 8C 979/2009 du 1 novembre 2010</w:t>
      </w:r>
    </w:p>
    <w:p>
      <w:r>
        <w:t>IT: TF 8C 979/2009 del 1 novembre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einzig, ob der Versicherte auf die ihm aus dem Unfallereignis vom 5. März 2002 zustehenden Rentenleistungen der SUVA verzichten kann. Während das kantonale Gericht und der Beschwerdegegner die Verzichtsmöglichkeit gestützt auf Art. 23 Abs. 1 ATSG bejahen, verneinen die Beschwerdeführerin und das BAG das Vorliegen der erforderlichen Voraussetzungen.</w:t>
      </w:r>
    </w:p>
    <w:p>
      <w:r>
        <w:rPr>
          <w:b/>
        </w:rPr>
        <w:t>E. 3</w:t>
      </w:r>
    </w:p>
    <w:p>
      <w:r>
        <w:t>Das ATSG, gestützt auf dessen Art. 23 die Vorinstanz die Verzichtsmöglichkeit bejaht hat, ist am 1. Januar 2003 in Kraft getreten. In intertemporalrechtlicher Hinsicht sieht die Übergangsbestimmung von Art. 82 Abs. 1 ATSG vor, dass die materiellen Bestimmungen dieses Gesetzes auf die bei seinem Inkrafttreten laufenden Leistungen und festgesetzten Forderungen nicht anwendbar sind, dies vorbehältlich der Anpassung von rechtskräftig verfügten Leistungskürzungen an Art. 21 ATSG mit Wirkung ab 1. Januar 2003. Art. 82 Abs. 1 ATSG nimmt somit jene Fälle von der Anwendbarkeit des neuen Gesetzes aus, in welchen über die Rechte und Pflichten vor dem 1. Januar 2003 rechtskräftig verfügt worden ist. Daraus lässt sich gemäss Rechtsprechung jedoch nicht ableiten, dass der Zeitpunkt des Erlasses der Verfügung oder - bei Durchführung des Einspracheverfahrens - des Einspracheentscheides für die Anwendung der materiellen Normen des neuen Gesetzes in Bezug auf Leistungen massgebend ist, welche bei dessen Inkrafttreten noch nicht rechtskräftig festgesetzt worden sind. Mit Ausnahme der in Art. 82 Abs. 1 ATSG speziell normierten Tatbestände ist vielmehr von einer echten Lücke auszugehen. Sie ist - vorbehältlich spezieller Problemstellungen (z.B. im Bereich des Fristenrechts; BGE 131 V 425 ) - unter Rückgriff auf den (materiell) intertemporal-rechtlichen Grundsatz auszufüllen, wonach in zeitlicher Hinsicht bei einer Änderung der gesetzlichen Grundlage in der Regel diejenigen Rechtssätze massgebend sind, die im Zeitraum der Verwirklichung des zu Rechtsfolgen führenden Sachverhaltes in Kraft standen (SVR 2007 AlV Nr. 2 S. 3 E. 3.3.1, C 88/04, mit Hinweisen; vgl. auch Meyer/Arnold, Intertemporales Recht. Eine Bestandesaufnahme anhand der Rechtsprechung der beiden öffentlich-rechtlichen Abteilungen des Bundesgerichts und des Eidgenössischen Versicherungsgerichts, in: ZSR 124 [2005] I 115 ff., dort S. 129).</w:t>
      </w:r>
    </w:p>
    <w:p>
      <w:r>
        <w:rPr>
          <w:b/>
        </w:rPr>
        <w:t>E. 4.1</w:t>
      </w:r>
    </w:p>
    <w:p>
      <w:r>
        <w:t>Der Unfall, aus welchem die in Frage stehenden Leistungen hervorgehen, hat sich am 5. März 2002, somit vor Inkrafttreten des ATSG, ereignet. Da die Regelung des Rückgriffs - sowohl gemäss dem bis 31. Dezember 2002 gültig gewesenen aArt. 41 UVG wie auch gemäss dem am 1. Januar 2003 in Kraft getretenen Art. 72 Abs. 1 ATSG - vom Prinzip der Subrogation im Zeitpunkt des Ereignisses ausgehen, ist massgebender Zeitpunkt für die Verwirklichung des zu Rechtsfolgen führenden Sachverhalts der Zeitpunkt des Unfallereignisses ( BGE 129 V 396 E. 1.1 S. 398; vgl. auch Urteil 4C.286/2003 vom 18. Februar 2004 E. 1.1; Ueli Kieser, ATSG-Kommentar, 2. Aufl. 2009, Rz. 12 zu Art. 82 ATSG ). Die SUVA ist somit gestützt auf aArt. 41 UVG am 5. März 2002 bis auf die Höhe der gesetzlichen Leistungen in die Ansprüche des Beschwerdegegners gegenüber dem haftpflichtigen Dritten eingetreten, obwohl in diesem Augenblick noch nicht feststand, welche Leistungen sie erbringen muss ( BGE 124 V 174 E. 3b S. 177). Vorliegend sind demzufolge die gesetzlichen Grundlagen vor Inkrafttreten des ATSG massgebend (vgl. Urteile 2A.726/2006 vom 8. November 2007 E. 2 und 4C.286/2003 vom 18. Februar 2004 E. 1.1).</w:t>
      </w:r>
    </w:p>
    <w:p>
      <w:r>
        <w:rPr>
          <w:b/>
        </w:rPr>
        <w:t>E. 4.2</w:t>
      </w:r>
    </w:p>
    <w:p>
      <w:r>
        <w:t>Gleichzeitig mit dem gestützt auf aArt. 41 UVG per 5. März 2002 erfolgten gesetzlichen Forderungsübergang verlor der Versicherte die subrogierten Ansprüche und hatte - zumindest nach altrechtlicher Lage und dazu ergangener Rechtsprechung - grundsätzlich nicht die Wahl, ob er den Schädiger oder die Sozialversicherung belangen will. Die vor Inkrafttreten des ATSG erfolgte Subrogation könnte - wenn überhaupt - einzig dadurch ausgeschaltet werden, dass alle Beteiligten, d.h. der Geschädigte, der Haftpflichtige und die Sozialversicherung ihr Einverständnis geben und der Sozialversicherer gemäss aArt. 65 UVV den Verzicht des Geschädigten auf Versicherungsleistungen bei Vorliegen der Voraussetzungen in einer Verfügung festhält ( BGE 124 V 174 E. 3b und 3c S. 177 f. mit Hinweisen). Dass diese Voraussetzungen zur Ausschaltung der erfolgten Subrogation vorliegend nicht gegeben sind, ist unbestritten. Ob im Verhältnis zwischen Subrogation und Verzicht auf Versicherungsleistungen durch die Neuregelung des Verzichts in Art. 23 ATSG eine Änderung eingetreten ist, welchen Standpunkt das kantonale Gericht und der Beschwerdegegner vertreten, braucht vorliegend nicht weiter geprüft zu werden.</w:t>
      </w:r>
    </w:p>
    <w:p>
      <w:r>
        <w:rPr>
          <w:b/>
        </w:rPr>
        <w:t>E. 4.3</w:t>
      </w:r>
    </w:p>
    <w:p>
      <w:r>
        <w:t>Zusammenfassend hat die SUVA die Möglichkeit des Beschwerdegegners, auf Versicherungsleistungen zu verzichten, mit Einspracheentscheid vom 22. Mai 2009 im Ergebnis zu Recht verneint, weshalb ihre Beschwerde gutzuheissen und der vorinstanzliche Entscheid vom 2. Oktober 2009 aufzuheben ist.</w:t>
      </w:r>
    </w:p>
    <w:p>
      <w:r>
        <w:rPr>
          <w:b/>
        </w:rPr>
        <w:t>E. 5</w:t>
      </w:r>
    </w:p>
    <w:p>
      <w:r>
        <w:t>Bei diesem Verfahrensausgang sind die Gerichtskosten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