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8C_974/2010 vom 21. April 2011</w:t>
      </w:r>
    </w:p>
    <w:p>
      <w:r>
        <w:t>Bundesgericht, 2011-04-21, FR</w:t>
      </w:r>
    </w:p>
    <w:p>
      <w:r>
        <w:rPr>
          <w:b/>
        </w:rPr>
        <w:t xml:space="preserve">Quelle: </w:t>
      </w:r>
      <w:r>
        <w:t>https://mcp.opencaselaw.ch/entscheid/bger_8C_974_2010</w:t>
      </w:r>
    </w:p>
    <w:p>
      <w:r>
        <w:t>FR: TF 8C_974/2010 du 21 avril 2011</w:t>
      </w:r>
    </w:p>
    <w:p>
      <w:r>
        <w:t>IT: TF 8C_974/2010 del 21 aprile 2011</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du recourant, ni par la motivation de l'autorité précédente; il peut donc admettre un recours pour d'autres motifs que ceux invoqués et le rejeter par une argumentation autre que celle de l'autorité précédente (cf. ATF 133 V 515 consid. 1.3 p. 519; 130 III 136 consid. 1.4 p. 140). Il n'examine en principe que les griefs allégués, eu égard à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Le recourant ne peut critiquer la constatation des faits importants pour le jugement de la cause que si ceux-ci ont été constatés de façon manifestement inexacte - notion qui correspond à celle d'arbitraire (cf. ATF 134 V 53 consid. 4.3 p. 62; 133 II 249 consid. 1.2.2 p. 252; 129 I 8 consid. 2.1 p. 9) - ou en violation du droit au sens de l' art. 95 LTF et si la correction du vice peut influer sur le sort de la cause ( art. 97 al. 1 LTF ). Conformément à la pratique qui prévalait en matière de recours de droit public, l' art. 106 al. 2 LTF exige que la violation des droits fondamentaux soit explicitement soulevée et clairement exposée dans le mémoire de recours (cf. ATF 130 I 26 consid. 2.1 p. 31, 258 consid. 1.3 p. 261).</w:t>
      </w:r>
    </w:p>
    <w:p>
      <w:r>
        <w:rPr>
          <w:b/>
        </w:rPr>
        <w:t>E. 2</w:t>
      </w:r>
    </w:p>
    <w:p>
      <w:r>
        <w:t>Le recourant reproche à la juridiction cantonale de ne pas avoir donné suite à sa demande d'audience publique et se prévaut de l'art. 6 § 1 CEDH .</w:t>
      </w:r>
    </w:p>
    <w:p>
      <w:r>
        <w:rPr>
          <w:b/>
        </w:rPr>
        <w:t>E. 2.1</w:t>
      </w:r>
    </w:p>
    <w:p>
      <w:r>
        <w:t>L' art. 30 al. 3 Cst. ,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 1 CEDH , lorsque la procédure applicable le prévoit ou lorsque sa nécessité découle des exigences du droit à la preuve (cf. ATF 128 I 288 consid. 2 p. 290 ss).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2c p. 52 sv. et 3a p. 55). Saisi d'une demande tendant à la mise en oeuvre de débats publics, le juge cantonal doit en principe y donner suite. Il peut cependant s'abstenir dans les cas prévus par l'art. 6 § 1 seconde phrase CEDH, lorsque la demande est abusive (chicanière ou dilatoire), lorsqu'il apparaît clairement que le recours est infondé, irrecevable ou, au contraire, manifestement bien fondé ou lorsque l'objet du litige porte sur des questions hautement techniques (cf. ATF 122 V 47 consid. 3b p. 55 ss). Le Tribunal fédéral a récemment précisé qu'il ne pouvait être renoncé à des débats publics au motif que la procédure écrite convenait mieux pour discuter de questions d'ordre médical, même si l'objet du litige porte essentiellement sur la confrontation d'avis spécialisés au sujet de l'état de santé et de l'incapacité de travail d'un assuré en matière d'assurance-invalidité (cf. ATF 136 I 279 consid. 3 p. 283 sv.).</w:t>
      </w:r>
    </w:p>
    <w:p>
      <w:r>
        <w:rPr>
          <w:b/>
        </w:rPr>
        <w:t>E. 2.2</w:t>
      </w:r>
    </w:p>
    <w:p>
      <w:r>
        <w:t>En l'espèce, les premiers juges ne pouvaient pas renoncer à organiser des débats publics pour les motifs invoqués (position des parties clairement exprimées dans les écritures, instruction du dossier complète) sous peine de violer le droit. Il s'agissait d'une procédure bénéficiant de la protection de l'art. 6 § 1 CEDH (cf. ATF 125 V 499 consid. 2a p. 501; 122 V 47 consid. 2a p. 50) et qui ne tombait pas sous le coup d'une exception prévue par la jurisprudence (cf. consid. 2.1). Il ne s'agissait en particulier pas de questions hautement techniques (cf. arrêt 8C_950/2010 du 28 janvier 2011 consid. 2.1). Il existait en outre une demande claire et indiscutable dans ses termes (« audience publique ») qui ne pouvait être guère confondue avec une simple requête de preuve. Par ailleurs, la circonstance que le recourant n'a pas réagi à la lettre du 2 juin 2010 n'est pas décisive. En effet, dans la mesure où l'intéressé avait fait une demande claire, on ne saurait admettre qu'il y a renoncé tacitement en ne la réitérant pas. En outre, devant le refus qui lui a été signifié par le Juge instructeur, le recourant était fondé à considérer qu'une nouvelle requête en ce sens suivrait le même sort que la précédente. Dans ces circonstances, l'acte attaqué doit être annulé et la cause renvoyée à la juridiction cantonale afin qu'elle organise des débats publics et rende un nouveau jugement.</w:t>
      </w:r>
    </w:p>
    <w:p>
      <w:r>
        <w:rPr>
          <w:b/>
        </w:rPr>
        <w:t>E. 3</w:t>
      </w:r>
    </w:p>
    <w:p>
      <w:r>
        <w:t>Vu l'issue du litige, les frais judiciaires sont mis à la charge de l'intimée ( art. 66 al. 1 LTF ) qui versera à l'assuré une indemnité de dépens pour l'instance fédérale ( art. 68 al. 1 LTF ). Dans la mesure où le recourant a adressé une seule écriture dans les deux causes, il se justifie d'en tenir compte en fixant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