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8C_974/2009 vom 2. Juni 2010</w:t>
      </w:r>
    </w:p>
    <w:p>
      <w:r>
        <w:t>Bundesgericht, 2010-06-02, DE</w:t>
      </w:r>
    </w:p>
    <w:p>
      <w:r>
        <w:rPr>
          <w:b/>
        </w:rPr>
        <w:t xml:space="preserve">Quelle: </w:t>
      </w:r>
      <w:r>
        <w:t>https://mcp.opencaselaw.ch/entscheid/bger_8C_974_2009</w:t>
      </w:r>
    </w:p>
    <w:p>
      <w:r>
        <w:t>FR: TF 8C_974/2009 du 2 juin 2010</w:t>
      </w:r>
    </w:p>
    <w:p>
      <w:r>
        <w:t>IT: TF 8C_974/2009 del 2 giugno 2010</w:t>
      </w:r>
    </w:p>
    <w:p>
      <w:pPr>
        <w:pStyle w:val="Heading2"/>
      </w:pPr>
      <w:r>
        <w:t>Erwägungen</w:t>
      </w:r>
    </w:p>
    <w:p>
      <w:r>
        <w:rPr>
          <w:b/>
        </w:rPr>
        <w:t>E. 1.1</w:t>
      </w:r>
    </w:p>
    <w:p>
      <w:r>
        <w:t>Der angefochtene Entscheid, ein Endentscheid einer letzten kantonalen Instanz ( Art. 86 Abs. 1 lit. d, Art. 90 BGG ), betrifft ein öffentlich-rechtliches Arbeitsverhältnis, d.h. eine öffentlich-rechtliche Angelegenheit im Sinn von Art. 82 lit. a BGG . Vor der Vorinstanz beantragte der Beschwerdeführer die Verpflichtung der HTW zur Bezahlung einer Entschädigung von zwölf Monatslöhnen wegen missbräuchlicher Kündigung. Es handelt sich um eine vermögensrechtliche Streitigkeit, weshalb der Ausschlussgrund von Art. 83 lit. g BGG nicht gegeben ist. Die Streitwertgrenze von Fr. 15'000.- ( Art. 51 Abs. 1 lit. a, Art. 85 Abs. 1 lit. b BGG ) ist erreicht.</w:t>
      </w:r>
    </w:p>
    <w:p>
      <w:r>
        <w:rPr>
          <w:b/>
        </w:rPr>
        <w:t>E. 1.2</w:t>
      </w:r>
    </w:p>
    <w:p>
      <w:r>
        <w:t>Mit der Beschwerde in öffentlich-rechtlichen Angelegenheiten können Rechtsverletzungen im Sinne von Art. 95 BGG gerügt werden. Rügen gegen die Sachverhaltsfeststellung sind nur zulässig, wenn diese offensichtlich unrichtig ist oder auf einer Rechtsverletzung im Sinne von Art. 95 BGG beruht und wenn die Behebung des Mangels für den Ausgang des Verfahrens entscheidend sein kann. "Offensichtlich unrichtig" bedeutet dabei "willkürlich" ( BGE 133 II 249 E. 1.2.2 S. 252). Die Rüge, im Rahmen der Sachverhaltsfeststellung sei der grundrechtliche Anspruch auf rechtliches Gehör verletzt worden, kann jedoch uneingeschränkt erhoben werden (Urteil des Bundesgerichts 1C_560/2008 vom 6. April 2009 E.1.2 mit Hinweis).</w:t>
      </w:r>
    </w:p>
    <w:p>
      <w:r>
        <w:rPr>
          <w:b/>
        </w:rPr>
        <w:t>E. 1.3</w:t>
      </w:r>
    </w:p>
    <w:p>
      <w:r>
        <w:t>Willkür liegt nach der Praxis nicht schon dann vor, wenn eine andere Lösung als die von der Vorinstanz gewählte ebenfalls vertretbar oder gar vorzuziehen wäre, sondern nur dann, wenn der angefochtene Entscheid offensichtlich unhaltbar ist, mit der tatsächlichen Situation in klarem Widerspruch steht, eine Norm oder einen unumstrittenen Rechtsgrundsatz krass verletzt oder in stossender Weise dem Gerechtigkeitsgedanken zuwiderläuft ( BGE 134 II 124 E. 4.1 S. 133 mit Hinweisen).</w:t>
      </w:r>
    </w:p>
    <w:p>
      <w:r>
        <w:rPr>
          <w:b/>
        </w:rPr>
        <w:t>E. 2</w:t>
      </w:r>
    </w:p>
    <w:p>
      <w:r>
        <w:t>Der Beschwerdeführer beantragt neben der Feststellung, die Auflösung des Arbeitsverhältnisses sei missbräuchlich oder ungerechtfertigt erfolgt, wofür eine Entschädigung auszurichten sei, auch die Beschwerdegegnerin sei zu verpflichten, ihm ein Arbeitszeugnis mit einer angemessenen Würdigung seiner Leistungen auszustellen. Wie das kantonale Gericht bereits richtig ausgeführt hat, bildet die Frage nach dem Arbeitszeugnis nicht Gegenstand der Verfügung vom 28. August 2007, womit sie auch letztinstanzlich nicht Streitgegenstand ist. Auf dieses Rechtsbegehren wird daher nicht eingetreten.</w:t>
      </w:r>
    </w:p>
    <w:p>
      <w:r>
        <w:rPr>
          <w:b/>
        </w:rPr>
        <w:t>E. 3</w:t>
      </w:r>
    </w:p>
    <w:p>
      <w:r>
        <w:t>Streitig und zu prüfen ist in erster Linie, ob die ordentliche Kündigung des Arbeitsverhältnisses rechtmässig war.</w:t>
      </w:r>
    </w:p>
    <w:p>
      <w:r>
        <w:t>Gemäss Art. 5 des Gesetzes über die Hochschule für Technik und Wirtschaft (HTWG) ist diese eine selbstständige Anstalt des kantonalen öffentlichen Rechts. Die Anstellungsverhältnisse richten sich nach der Verordnung über das Arbeitsverhältnis der Mitarbeitenden des Kantons Graubünden (nunmehr Personalgesetz und Anschlussgesetzgebung, Art. 12 Abs. 1 HTWG; vgl. auch Art. 3 Abs. 2 lit. a des Personalgesetzes [PG], wonach dieses Gesetz auch für die Mitarbeitenden der selbstständigen kantonalen Anstalten gilt).</w:t>
      </w:r>
    </w:p>
    <w:p>
      <w:r>
        <w:t>Gemäss Art. 9 PG setzt die Kündigung (durch den Arbeitgeber) einen sachlich zureichenden Grund voraus (Abs. 1). "Sachlich zureichende Gründe" werden in Absatz 2 dieser Bestimmung beispielhaft und damit nicht abschliessend angeführt.</w:t>
      </w:r>
    </w:p>
    <w:p>
      <w:r>
        <w:rPr>
          <w:b/>
        </w:rPr>
        <w:t>E. 4</w:t>
      </w:r>
    </w:p>
    <w:p>
      <w:r>
        <w:t>Nach den Feststellungen der Vorinstanz war das Vertrauensverhältnis zwischen den Parteien im Allgemeinen und innerhalb der Schulleitung im Speziellen zufolge verschiedener Vorkommnisse grundlegend gestört oder gar zerrüttet. Dies ergebe sich aufgrund der Aktenlage sowie der übereinstimmenden Zeugenaussagen, und auch der Beschwerdeführer selbst habe dem anlässlich der mündlichen Verhandlung zugestimmt. Damit habe ein sachlicher Grund für die ordentliche Kündigung vorgelegen, weshalb von einer ungerechtfertigten Kündigung keine Rede per se sein könne. Im weiteren stellte die Vorinstanz fest, es habe entgegen der Darstellung des Beschwerdeführers kein "Mobbing" gegen ihn stattgefunden und es sei nicht ersichtlich, dass die Beschwerdegegnerin ihrer Fürsorgepflicht gegenüber ihm als Arbeitnehmer nicht hinreichend nachgekommen sei.</w:t>
      </w:r>
    </w:p>
    <w:p>
      <w:r>
        <w:rPr>
          <w:b/>
        </w:rPr>
        <w:t>E. 5.1</w:t>
      </w:r>
    </w:p>
    <w:p>
      <w:r>
        <w:t>Der Beschwerdeführer rügt insbesondere, die HTW habe gegen den Grundsatz der Verhältnismässigkeit verstossen; die Kündigung sei ausgesprochen worden, bevor er schriftlich darauf hingewiesen worden sei, er habe sein Verhalten zu ändern. Die ihm vorgeworfenen Fehler seien überdies nicht gravierend und es habe auch keine objektive Untersuchung über die angeblichen Verfehlungen gegeben. Im Wesentlichen bringt er sinngemäss vor, entscheidend sei nicht, ob das Vertrauensverhältnis tatsächlich gestört gewesen sei, sondern, ob ihn daran ein Verschulden treffe und ob ihm Gelegenheit geboten worden sei, sich zu bessern.</w:t>
      </w:r>
    </w:p>
    <w:p>
      <w:r>
        <w:rPr>
          <w:b/>
        </w:rPr>
        <w:t>E. 5.1.1</w:t>
      </w:r>
    </w:p>
    <w:p>
      <w:r>
        <w:t>Auch in der Rolle als Arbeitgeber ist der Staat an die allgemeinen Grundsätze staatlichen Handelns (Gesetzmässigkeit, Rechtsgleichheit, öffentliches Interesse, Verhältnismässigkeit, Treu und Glauben) gebunden. Das aus Art. 9 BV fliessende Willkürverbot sowie der verfassungsmässige Grundsatz der Verhältnismässigkeit gebieten, dass eine Kündigung in pflichtgemässer Ermessensausübung nur gestützt auf sachliche Gründe ausgesprochen werden kann und zudem eine in der konkreten Situation angemessene Massnahme sein muss. Die Verwaltungsbehörde muss die Massnahme wählen, welche genügt (Urteil 1C_42/2007 vom 29. November 2007 E. 3.6.2). Das in Art. 5 Abs. 2 BV als allgemeiner Verfassungsgrundsatz verankerte Verhältnismässigkeitsgebot kann im Rahmen einer Beschwerde in öffentlich-rechtlichen Angelegenheiten bei der Anwendung kantonalen und kommunalen Rechts ausserhalb des Schutzbereichs spezieller Grundrechte nur unter dem Gesichtswinkel des Willkürverbots angerufen werden ( BGE 134 I 153 E. 4.3 S. 158). Zusammen mit der Rüge der Verletzung des Willkürverbots kann nur geltend gemacht werden, die Kündigung sei krass unangemessen (Urteil 1C_42/2007 vom 29. November 2007 E. 3.6.2).</w:t>
      </w:r>
    </w:p>
    <w:p>
      <w:r>
        <w:rPr>
          <w:b/>
        </w:rPr>
        <w:t>E. 5.1.2</w:t>
      </w:r>
    </w:p>
    <w:p>
      <w:r>
        <w:t>Wie bereits ausgeführt, war nach den Feststellungen der Vorinstanz offensichtlich und wurde vom Beschwerdeführer an der mündlichen Verhandlung auch selbst eingestanden, dass das Vertauensverhältnis zwischen den Parteien grundlegend zerstört war. Dies alleine sei bereits ein sachlich zureichender Grund, eine Kündigung auszusprechen. Die Ausführungen des Beschwerdeführers sind nicht geeignet, diese tatsächlichen Feststellungen des Verwaltungsgerichts als willkürlich erscheinen zu lassen. Es entspricht sodann allgemeiner Erfahrung, dass ein gravierend gestörtes Arbeitsklima sich über kurz oder lang negativ auf den Betrieb selber auswirkt. Die Aussprechung der Kündigung liegt in einem solchen Fall grundsätzlich im öffentlichen Interesse. Die betrieblichen Interessen sind ein sachliches Kriterium, das bei der Wahl, wem zu kündigen ist, berücksichtigt werden darf (Urteile 8C_ 340/2009 vom 24. August 2009 E. 4.4.3 und 1C_354/2008 vom 4. Mai 2009 E. 2.4). Angesichts des auch vom Beschwerdeführer selbst eingestandenen Vertrauensverlusts in der Schulleitung und des Umstandes, dass auch er selbst keine Weiterbeschäftigung verlangte und damit zum Ausdruck brachte, dass eine weitere Zusammenarbeit für alle Beteiligten undenkbar war, zeigt, dass diese, von der Vorinstanz geschützte, Massnahme nicht als krass unangemessen bezeichnet werden kann.</w:t>
      </w:r>
    </w:p>
    <w:p>
      <w:r>
        <w:rPr>
          <w:b/>
        </w:rPr>
        <w:t>E. 5.2</w:t>
      </w:r>
    </w:p>
    <w:p>
      <w:r>
        <w:t>Weiter bringt der Beschwerdeführer vor, es seien ihm vor der Kündigung wesentliche Verfahrensrechte, insbesondere dasjenige des rechtlichen Gehörs, nur der Form, nicht aber dem Inhalt nach gewährt worden, was die Vorinstanz trotz entsprechender Rüge nicht geprüft habe.</w:t>
      </w:r>
    </w:p>
    <w:p>
      <w:r>
        <w:rPr>
          <w:b/>
        </w:rPr>
        <w:t>E. 5.2.1</w:t>
      </w:r>
    </w:p>
    <w:p>
      <w:r>
        <w:t>Der Umfang des Anspruchs auf rechtliches Gehör wird zunächst durch die kantonalen Verfahrensvorschriften umschrieben. Das Bundesgericht prüft deren Auslegung und Anwendung nur unter dem Gesichtswinkel des Willkürverbotes. Unabhängig vom kantonalen Recht greifen die aus Art. 29 Abs. 2 BV folgenden Verfahrensregeln zur Sicherung des rechtlichen Gehörs Platz ( BGE 134 I 159 E. 2.1.1 S. 161). Ob diese Grundsätze eingehalten wurden, prüft das Bundesgericht mit freier Kognition ( BGE 124 I 241 E. 2 S. 242 f. mit Hinweisen). Dass sich aus dem kantonalen Recht ein weitergehender Gehörsanspruch als aus Art. 29 Abs. 2 BV ergeben würde, wird nicht behauptet und ist auch nicht ersichtlich.</w:t>
      </w:r>
    </w:p>
    <w:p>
      <w:r>
        <w:rPr>
          <w:b/>
        </w:rPr>
        <w:t>E. 5.2.2</w:t>
      </w:r>
    </w:p>
    <w:p>
      <w:r>
        <w:t>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des Entscheides zur Sache zu äussern, Einsicht in die Akten zu nehmen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132 II 485 E. 3.2 S. 494; 129 II 497 E. 2.2 S. 504 f., je mit Hinweisen). Im Einzelnen lässt sich nicht generell, sondern nur unter Würdigung der konkreten Interessenlage beurteilen, wie weit das Äusserungsrecht geht. Wegleitend muss der Gedanke sein, einer Partei zu ermöglichen, ihren Standpunkt wirksam zur Geltung zu bringen ( BGE 111 Ia 273 E. 2b S. 274; 105 Ia 193 E. 2b/cc S. 197; Urteile 2P.46/2006 vom 7. Juni 2006 E. 4.3, 2P.77/2003 vom 9. Juli 2003 E. 2.1, 2P.241/1996 vom 27. November 1996 E. 2c). Im öffentlichen Dienstrecht können auch relativ informelle Äusserungsgelegenheiten vor der Kündigung dem verfassungsrechtlichen Gehörsanspruch genügen, sofern dem Betroffenen klar war, dass er mit einer solchen Massnahme zu rechnen hatte (Urteile 1C_560/2008 vom 6. April 2009, 1C_103/2007 vom 7. Dezember 2007 E. 5.3, 2P.275/2005 vom 1. März 2006 E. 2.1). Dabei hat der Betroffene nicht bloss die ihm zur Last gelegten Tatsachen zu kennen, sondern er muss darüber hinaus auch wissen, dass gegen ihn eine Verfügung mit bestimmter Stossrichtung in Erwägung gezogen wird (Urteil 8C_158/2009 vom 2. September 2009 E. 5.2 mit Hinweisen).</w:t>
      </w:r>
    </w:p>
    <w:p>
      <w:r>
        <w:rPr>
          <w:b/>
        </w:rPr>
        <w:t>E. 5.2.3</w:t>
      </w:r>
    </w:p>
    <w:p>
      <w:r>
        <w:t>Wie aus dem Schreiben des Hochschulrates vom 10. August 2007 hervorgeht, hat zwischen den Parteien gleichentags ein Gespräch stattgefunden, in welchem das erheblich gestörte Vertrauensverhältnis zwischen dem Beschwerdeführer einerseits und den übrigen Schulleitungsmitgliedern sowie dem Hochschulrat andererseits Thema war. Der Beschwerdeführer hatte anlässlich dieser Unterredung Gelegenheit, sich gegenüber seinen Vorgesetzten zu äussern. Im genannten Schreiben wurden die einzelnen Vorwürfe in Bezug auf Leistung und Verhalten explizit aufgeführt. Zudem wurde der Beschwerdeführer darüber informiert, dass man - vorbehältlich einer gütliche Einigung - aus den erwähnten Gründen eine Kündigung des Arbeitsverhältnisses in Erwägung ziehe. Der Arbeitnehmer erhielt sodann Gelegenheit, sich innert zwei Wochen schriftlich zu den Vorwürfen und der in Aussicht gestellten Vertragsauflösung zu äussern. Davon machte er mit Schreiben vom 21. August 2007 auch ausführlich Gebrauch. Die Kündigung wurde sodann mit Verfügung vom 28. August 2007 ausgesprochen, wobei darin auch auf die Argumente des Beschwerdeführers in seinem Schreiben vom 21. August 2007 eingegangen wurde. Damit steht fest, dass das rechtliche Gehör im Sinne der unter E. 5.2.2 angeführten Rechtsprechung in ausreichendem Masse gewährt worden war. Es liegt in der Natur der Sache, dass der Prozess der Entscheidfindung über eine Beendigung des Arbeitsverhältnisses zum Zeitpunkt dieses Gespräches schon weit fortgeschritten war; ansonsten hätte ihn der Hochschulrat auch nicht über die ins Auge gefasste Massnahme informieren können.</w:t>
      </w:r>
    </w:p>
    <w:p>
      <w:r>
        <w:rPr>
          <w:b/>
        </w:rPr>
        <w:t>E. 5.3</w:t>
      </w:r>
    </w:p>
    <w:p>
      <w:r>
        <w:t>Schliesslich wirft der Beschwerdeführer dem kantonalen Gericht einen Verstoss gegen Art. 8 und 29 BV vor, weil es die weiteren Schulleitungsmitglieder in Bezug auf die Frage nach dem gestörten Vertauensverhältnis als Zeugen einvernahm, der Beschwerdeführer selbst aber vom Gericht nicht befragt worden sei.</w:t>
      </w:r>
    </w:p>
    <w:p>
      <w:r>
        <w:t>Der Beschwerdeführer verkennt dabei, dass er seine Sicht der Dinge in einem zweifachen Schriftenwechsel und einem mündlichen Vortrag vor Gericht ausführlich darlegen lassen konnte. Es bestand für die richterliche Sachverhaltsfeststellung keine Veranlassung zu einer Parteibefragung. Von einer Verletzung des rechtlichen Gehörs durch die Vorinstanz kann keine Rede sein. Auch in diesem Punkt erweist sich die Beschwerde somit als unbegründet.</w:t>
      </w:r>
    </w:p>
    <w:p>
      <w:r>
        <w:rPr>
          <w:b/>
        </w:rPr>
        <w:t>E. 6</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