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955/2011 vom 9. Juli 2012</w:t>
      </w:r>
    </w:p>
    <w:p>
      <w:r>
        <w:t>Bundesgericht, 2012-07-09, DE</w:t>
      </w:r>
    </w:p>
    <w:p>
      <w:r>
        <w:rPr>
          <w:b/>
        </w:rPr>
        <w:t xml:space="preserve">Quelle: </w:t>
      </w:r>
      <w:r>
        <w:t>https://mcp.opencaselaw.ch/entscheid/bger_8C_955_2011</w:t>
      </w:r>
    </w:p>
    <w:p>
      <w:r>
        <w:t>FR: TF 8C 955/2011 du 9 juillet 2012</w:t>
      </w:r>
    </w:p>
    <w:p>
      <w:r>
        <w:t>IT: TF 8C 955/2011 del 9 luglio 2012</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Ändert sich der Invaliditätsgrad einer Rentenbezügerin oder eines Rentenbezügers erheblich, so wird in Anwendung von Art. 17 Abs. 1 ATSG die Rente von Amtes wegen oder auf Gesuch hin für die Zukunft entsprechend erhöht, herabgesetzt oder aufgehoben (sog. Rentenrevision). Formell rechtskräftige Verfügungen und Einspracheentscheide müssen gemäss Art. 53 Abs. 1 ATSG in (prozessuale) Revision gezogen werden, wenn die versicherte Person oder der Versicherungsträger nach deren Erlass erhebliche neue Tatsachen entdeckt oder Beweismittel auffindet, deren Beibringung zuvor nicht möglich war. Zudem kann der Versicherungsträger nach Art. 53 Abs. 2 ATSG auf formell rechtskräftige Verfügungen oder Einspracheentscheide zurückkommen, wenn diese zweifellos unrichtig sind und wenn ihre Berichtigung von erheblicher Bedeutung ist.</w:t>
      </w:r>
    </w:p>
    <w:p>
      <w:r>
        <w:rPr>
          <w:b/>
        </w:rPr>
        <w:t>E. 2.3</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2.4</w:t>
      </w:r>
    </w:p>
    <w:p>
      <w:r>
        <w:t>Streitig und zu prüfen ist, ob die IV-Stelle zu Recht die ganze Rente des Beschwerdeführers rückwirkend aufgehoben hat.</w:t>
      </w:r>
    </w:p>
    <w:p>
      <w:r>
        <w:rPr>
          <w:b/>
        </w:rPr>
        <w:t>E. 3.1</w:t>
      </w:r>
    </w:p>
    <w:p>
      <w:r>
        <w:t>Vorinstanz und Verwaltung gingen davon aus, dass die ursprüngliche, rentenzusprechende Verfügung vom 19. Dezember 2003 zweifellos unrichtig war, weshalb sie in Anwendung von Art. 53 Abs. 2 ATSG wiedererwägungsweise aufzuheben sei. Der Beschwerdeführer bringt dagegen vor, bei einer Betrachtung ex tunc sei die Verfügung nicht zweifellos unrichtig gewesen, es liege kein Wiedererwägungsgrund vor. Wie es sich damit verhält, kann offen bleiben: Das Sicherstellen verschiedener Beweismittel im Strafverfahren, welche eine erhebliche Erwerbstätigkeit des Versicherten während des Zeitraums des Rentenbezuges belegen, stellt ein nachträgliches Auffinden erheblicher Beweismittel dar, deren Beibringung der IV-Stelle zuvor nicht möglich gewesen ist. Somit ist jedenfalls der Rückkommensgrund von Art. 53 Abs. 1 ATSG (sog. prozessuale Revision) gegeben.</w:t>
      </w:r>
    </w:p>
    <w:p>
      <w:r>
        <w:rPr>
          <w:b/>
        </w:rPr>
        <w:t>E. 3.2</w:t>
      </w:r>
    </w:p>
    <w:p>
      <w:r>
        <w:t>Das kantonale Gericht hat in Würdigung der Akten, insbesondere auch der Dokumente aus dem Strafverfahren, für das Bundesgericht verbindlich festgestellt, dass der Versicherte während der Zeit des Rentenbezuges erwerbstätig war und dabei erhebliche Einkünfte erzielte. Was der Beschwerdeführer gegen diese Feststellung vorbringt, vermag sie nicht als bundesrechtswidrig erscheinen zu lassen. Insbesondere vermögen die echtzeitlichen Berichte verschiedener medizinischer Fachpersonen, denen die kriminelle Energie des Versicherten nicht bekannt war und die ihm eine erhebliche Arbeitsunfähigkeit aus psychischen Gründen attestierten, die Annahmen des kantonalen Gerichts nicht zu widerlegen. Im Bericht des Psychiatrischen Zentrums A.________ vom 11. Mai 2009 wird zwar eine Arbeitsunfähigkeit auf dem freien Arbeitsmarkt postuliert, es findet aber keine Auseinandersetzung mit dem Umstand statt, dass der Versicherte vor seiner Inhaftierung trotz seines Leidens erwerbstätig sein konnte. Somit vermag auch dieser Bericht die vorinstanzliche Beweiswürdigung nicht als offensichtlich unhaltbar erscheinen zu lassen. Da nach den Feststellungen des kantonalen Gerichts eine tatsächlich ausgeübte rentenausschliessende Erwerbstätigkeit erstellt ist, ist letztlich im vorliegenden Verfahren nicht von Bedeutung, ob der Versicherte aus psychiatrischer Sicht als gesund anzusehen ist, oder nicht.</w:t>
      </w:r>
    </w:p>
    <w:p>
      <w:r>
        <w:rPr>
          <w:b/>
        </w:rPr>
        <w:t>E. 3.3</w:t>
      </w:r>
    </w:p>
    <w:p>
      <w:r>
        <w:t>Durfte die Vorinstanz von einer tatsächlich ausgeübten rentenausschliessenden Erwerbstätigkeit ausgehen, die vom Versicherten gegenüber der IV-Stelle verheimlicht wurde, so ist die rückwirkende Rentenaufhebung nicht zu beanstanden. Die Beschwerde des Versicherten ist demnach abzuweisen.</w:t>
      </w:r>
    </w:p>
    <w:p>
      <w:r>
        <w:rPr>
          <w:b/>
        </w:rPr>
        <w:t>E. 4</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