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952/2009 vom 18. Mai 2010</w:t>
      </w:r>
    </w:p>
    <w:p>
      <w:r>
        <w:t>Bundesgericht, 2010-05-18, DE</w:t>
      </w:r>
    </w:p>
    <w:p>
      <w:r>
        <w:rPr>
          <w:b/>
        </w:rPr>
        <w:t xml:space="preserve">Quelle: </w:t>
      </w:r>
      <w:r>
        <w:t>https://mcp.opencaselaw.ch/entscheid/bger_8C_952_2009</w:t>
      </w:r>
    </w:p>
    <w:p>
      <w:r>
        <w:t>FR: TF 8C 952/2009 du 18 mai 2010</w:t>
      </w:r>
    </w:p>
    <w:p>
      <w:r>
        <w:t>IT: TF 8C 952/2009 del 18 maggio 2010</w:t>
      </w:r>
    </w:p>
    <w:p>
      <w:pPr>
        <w:pStyle w:val="Heading2"/>
      </w:pPr>
      <w:r>
        <w:t>Regeste</w:t>
      </w:r>
    </w:p>
    <w:p>
      <w:r>
        <w:t>Beendigung des öffentlichen Dienstverhältnisses | Öffentliches Dienstverhältnis</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Anwendungsbereich dieser Bestimmung besteht eine qualifizierte Rügepflicht. Hier muss die Beschwerdeschrift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w:t>
      </w:r>
    </w:p>
    <w:p>
      <w:r>
        <w:rPr>
          <w:b/>
        </w:rPr>
        <w:t>E. 1.2</w:t>
      </w:r>
    </w:p>
    <w:p>
      <w:r>
        <w:t>Der Beschwerdeführer rügt ausführlich, inwiefern die Vorinstanz bezüglich seines Feststellungsbegehrens (Anspruch auf einen unbefristeten Anstellungsvertrag) sowie seines Entschädigungsbegehrens (Anspruch auf eine Entschädigung in der Höhe von fünf Monatslöhnen) kantonales Recht falsch angewendet habe; er legt jedoch nicht dar, inwiefern dies bundesrechtswidrig sein soll oder kantonales verfassungsmässiges Recht verletze. Seine rein appellatorische Kritik genügt somit den Anforderungen an eine Beschwerde nicht. Soweit er sich auf Art. 336c OR beruft, handelt es sich dabei um im Rahmen des kantonalen öffentlichen Dienstrechts subsidiär anwendbares Recht, welches als kantonales und nicht als Bundesrecht gilt (vgl. Urteile 1C_195/2007 vom 17. Dezember 2007, E. 4.1, oder 2C_492/2009 vom 18. August 2009, E. 2.2). Weiter rügt er, die Vorinstanz sei zu Unrecht auf sein Begehren um Berichtigung des Elternbriefes sowie Urteilspublikation nicht eingetreten. Er übersieht indessen, dass es sich dabei um eine nicht vermögensrechtliche Angelegenheit im Sinne von Art. 83 lit. g BGG handelt und somit die Beschwerde in öffentlich-rechtlichen Angelegenheiten nicht gegeben ist. Auf die erwähnten Begehren kann demnach nicht eingetreten werden.</w:t>
      </w:r>
    </w:p>
    <w:p>
      <w:r>
        <w:rPr>
          <w:b/>
        </w:rPr>
        <w:t>E. 1.3</w:t>
      </w:r>
    </w:p>
    <w:p>
      <w:r>
        <w:t>Soweit der Beschwerde sinngemäss die Geltendmachung einer Verletzung des Legalitätsprinzips ( Art. 5 BV ) entnommen werden kann, ist zu berücksichtigen, dass die Prüfung einer Verletzung dieses verfassungsmässigen Prinzips im Rahmen des kantonalen Rechts nur auf Willkür erfolgt (vgl. BGE 134 I 153 E. 4.2.2 und 4.3 S. 157 f. mit Hinweisen). Der Beschwerdeführer macht jedoch keine Willkür geltend, so dass auf das entsprechende Begehren ebenfalls nicht eingetreten werden kann.</w:t>
      </w:r>
    </w:p>
    <w:p>
      <w:r>
        <w:rPr>
          <w:b/>
        </w:rPr>
        <w:t>E. 2</w:t>
      </w:r>
    </w:p>
    <w:p>
      <w:r>
        <w:t>Schliesslich macht der Beschwerdeführer eine Verletzung seines Anspruchs auf rechtliches Gehör ( Art. 29 Abs. 2 BV ) geltend, da die Vorinstanz sich nicht dazu geäussert habe, ob die Nichtverlängerung seines befristeten Arbeitsvertrages zu Recht erfolgt sei (Ziff. 4e seiner Beschwerde). Diese den Anforderungen an die Beschwerdebegründung einzig, wenn auch knapp genügende Rüge ist nicht zutreffend.</w:t>
      </w:r>
    </w:p>
    <w:p>
      <w:r>
        <w:rPr>
          <w:b/>
        </w:rPr>
        <w:t>E. 2.1</w:t>
      </w:r>
    </w:p>
    <w:p>
      <w:r>
        <w:t>Das rechtliche Gehör nach Art. 29 Abs. 2 BV verlangt, dass die Behörde die Vorbringen der vom Entscheid in ihrer Rechtslage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2.2</w:t>
      </w:r>
    </w:p>
    <w:p>
      <w:r>
        <w:t>Die Vorinstanz hat sich nicht mit jedem einzelnen der vorgebrachten Einwände auseinanderzusetzen. Es genügt nach der Rechtsprechung, wenn sich dem Entscheid insgesamt die das kantonale Gericht leitenden Überlegungen entnehmen lassen. Die Vorinstanz hat den Anspruch auf Weiterbeschäftigung resp. Umwandlung des befristeten Arbeitsverhältnisses in ein unbefristetes explizit abgelehnt (E. II/2 ff.) und festgestellt, befristete Arbeitsverträge endeten grundsätzlich mit deren Ablauf (E. I/5.4 und II/5.2). Abschliessend hielt es fest, zusammenfassend ergebe sich, dass die Schulpflege den Vertrag mit dem Beschwerdeführer zulässigerweise auslaufen liess (E. II/8). Demnach lässt sich dem kantonalen Entscheid insgesamt entnehmen, weshalb auch die Nichtverlängerung des befristeten Arbeitsvertrages zu Recht erfolgte. Damit hat das kantonale Gericht den Anspruch auf rechtliches Gehör nicht verletzt.</w:t>
      </w:r>
    </w:p>
    <w:p>
      <w:r>
        <w:rPr>
          <w:b/>
        </w:rPr>
        <w:t>E. 3</w:t>
      </w:r>
    </w:p>
    <w:p>
      <w:r>
        <w:t>Nach dem Gesagten ist die Beschwerde abzuweisen, soweit darauf eingetreten werden kann.</w:t>
      </w:r>
    </w:p>
    <w:p>
      <w:r>
        <w:rPr>
          <w:b/>
        </w:rPr>
        <w:t>E. 4</w:t>
      </w:r>
    </w:p>
    <w:p>
      <w:r>
        <w:t>Das Verfahren ist kostenpflichtig. Der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