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8C_94/2021 vom 27. Oktober 2021</w:t>
      </w:r>
    </w:p>
    <w:p>
      <w:r>
        <w:t>Bundesgericht, 2021-10-27, DE</w:t>
      </w:r>
    </w:p>
    <w:p>
      <w:r>
        <w:rPr>
          <w:b/>
        </w:rPr>
        <w:t xml:space="preserve">Quelle: </w:t>
      </w:r>
      <w:r>
        <w:t>https://mcp.opencaselaw.ch/entscheid/bger_8C_94_2021</w:t>
      </w:r>
    </w:p>
    <w:p>
      <w:r>
        <w:t>FR: TF 8C_94/2021 du 27 octobre 2021</w:t>
      </w:r>
    </w:p>
    <w:p>
      <w:r>
        <w:t>IT: TF 8C_94/2021 del 27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Aufgrund des hier gegebenen Streitgegenstandes (vgl. E. 3 hiernach) gelangt die Ausnahmeregelung des Art. 105 Abs. 3 in Verbindung mit Art. 97 Abs. 2 BGG im vorliegenden Verfahren nicht zum Tragen ( BGE 147 V 16 E. 4.1.1 mit Hinweisen). Demnach bleibt das Bundesgericht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BGE 147 V 16 E. 4.1.1 mit Hinweis).</w:t>
      </w:r>
    </w:p>
    <w:p>
      <w:r>
        <w:rPr>
          <w:b/>
        </w:rPr>
        <w:t>E. 2.1</w:t>
      </w:r>
    </w:p>
    <w:p>
      <w:r>
        <w:t>Obwohl sich der hier beschlagene Unfall vor dem auf den 1. Januar 2017 erfolgten Inkrafttreten der am 25. September 2015 geänderten Bestimmungen des UVG ereignete, gelangt in Bezug auf die hier in Frage stehenden Leistungen unstreitig das revidierte Recht zur Anwendung ( BGE 146 V 364 E. 9.5). Das hat schon die Vorinstanz zu Recht erkannt.</w:t>
      </w:r>
    </w:p>
    <w:p>
      <w:r>
        <w:rPr>
          <w:b/>
        </w:rPr>
        <w:t>E. 2.2</w:t>
      </w:r>
    </w:p>
    <w:p>
      <w:r>
        <w:t>Die rechtlichen Anspruchsgrundlagen und -voraussetzungen werden im angefochtenen Urteil zutreffend wiedergegeben. Mit den zentralen Art. 10 Abs. 3 UVG und Art. 18 UVV sowie namentlich mit dem Begriff der Hauspflege setzt sich ausserdem das ebenfalls heute ergangene Urteil 8C_81/2021 einlässlich auseinander, dem ein ähnlicher Sachverhalt zugrunde liegt. Darauf wird verwiesen.</w:t>
      </w:r>
    </w:p>
    <w:p>
      <w:r>
        <w:rPr>
          <w:b/>
        </w:rPr>
        <w:t>E. 3</w:t>
      </w:r>
    </w:p>
    <w:p>
      <w:r>
        <w:t>Streitig ist, ob die Vorinstanz Bundesrecht verletzt hat, indem sie den von der Beschwerdegegnerin zu erbringenden Beitrag an nichtmedizinische Hilfe nach Art. 18 Abs. 2 lit. b UVV im Umfang von Fr. 2738.- pro Monat gemäss Einspracheentscheid bestätigte. Im Einzelnen geht es - wie schon im Urteil 8C_81/2021 - auch im vorliegenden Fall insbesondere um die Frage, wie im Rahmen der genannten Bestimmung die Hilflosenentschädigung zu berücksichtigen ist.</w:t>
      </w:r>
    </w:p>
    <w:p>
      <w:r>
        <w:rPr>
          <w:b/>
        </w:rPr>
        <w:t>E. 4</w:t>
      </w:r>
    </w:p>
    <w:p>
      <w:r>
        <w:t>Das kantonale Gericht fasst im angefochtenen Urteil die Haltung der Beschwerdegegnerin dahin zusammen, dass diese bereit sei, einen Beitrag an die Dekubitusprophylaxe durch die Spitex von monatlich Fr. 2738.- zu leisten, derweil die übrige nichtmedizinische Hilfe bereits durch die Hilflosenentschädigung abgegolten sei. Demgegenüber vertritt die Beschwerdeführerin die Auffassung, dass eine Kostenbeteiligung ihrerseits gemäss Art. 10 Abs. 3 UVG und Art. 18 UVV ausser Betracht falle. Die Hilflosenentschädigung und der Anspruch nach Art. 18 Abs. 2 lit. b UVV bestünden kumulativ und eine Begrenzung ergebe sich einzig durch das Verbot der Überentschädigung.</w:t>
      </w:r>
    </w:p>
    <w:p>
      <w:r>
        <w:t>Die Vorinstanz gelangt zum Schluss, dass es zufolge konzeptioneller Unterschiede zwischen Anspruch auf nichtmedizinische Hilfe zu Hause und Hilflosenentschädigung an einer Grundlage dafür fehle, die für die Letztere massgebenden alltäglichen Lebensverrichtungen in die Ermittlung des Bedarfs an nichtmedizinischer Hilfe einzubeziehen.</w:t>
      </w:r>
    </w:p>
    <w:p>
      <w:r>
        <w:rPr>
          <w:b/>
        </w:rPr>
        <w:t>E. 5</w:t>
      </w:r>
    </w:p>
    <w:p>
      <w:r>
        <w:t>Im Urteil 8C_81/2021 von heute bekräftigt das Bundesgericht, dass nunmehr gemäss revidiertem Recht auch im Rahmen von Art. 18 Abs. 2 lit. b UVV ein Rechtsanspruch besteht. Der demgemäss zu erbringende Beitrag besteht subsidiär zur Hilflosenentschädigung, wobei diese nicht den gesamten Hilfsbedarf im Rahmen der alltäglichen Lebensverrichtungen und des Bedarfs an dauernder Überwachung abzudecken vermag. Das ruft nach einer umfassenden und im Hinblick auf die rechtliche Zuordnung genauen Abklärung des gesamten Pflege- und Hilfebedarfs, unter Einschluss der alltäglichen Lebensverrichtungen. Dabei ist dem lokal-räumlichen Rahmen von Art. 18 UVV Rechnung zu tragen, indem die Hilfestellung ausserhalb des Hauses oder der Wohnung bzw. deren naher Umgebung ausser Acht zu bleiben hat. Der Subsidiarität des Anspruchs nach Art. 18 Abs. 2 lit. b UVV ist dadurch Nachachtung zu verschaffen, dass von der im Rahmen dieser Bestimmung ermittelten Abgeltung die Hilflosenentschädigung (reduziert um eine Quote von 15 %) in Abzug zu bringen ist.</w:t>
      </w:r>
    </w:p>
    <w:p>
      <w:r>
        <w:rPr>
          <w:b/>
        </w:rPr>
        <w:t>E. 6.1</w:t>
      </w:r>
    </w:p>
    <w:p>
      <w:r>
        <w:t>Soweit die Beschwerdeführerin im vorliegenden Fall auch vor Bundesgericht an ihrem Standpunkt betreffend Anspruchskumulation festhält, kann ihr nicht gefolgt werden. Es kann dazu auf die Erwägungen des Urteils 8C_81/2021 verwiesen werden. Insofern geht jedenfalls im Rahmen von Art. 18 Abs. 2 UVV der Einwand fehl, das Unfallversicherungsrecht lasse eine Kostenbeteiligung der versicherten Person nicht zu.</w:t>
      </w:r>
    </w:p>
    <w:p>
      <w:r>
        <w:rPr>
          <w:b/>
        </w:rPr>
        <w:t>E. 6.2</w:t>
      </w:r>
    </w:p>
    <w:p>
      <w:r>
        <w:t>Was die in der Beschwerde erhobene Kritik an der Feststellung des Sachverhalts angeht, trifft diese im Wesentlichen zu. Denn die Vorinstanz hat in Bezug auf den konkreten Bedarf an nichtmedizinischer Hilfe zu Hause - vom anerkannten Aufwand für die Dekubitusprophylaxe abgesehen - keine Feststellungen getroffen. Damit ist der Sachverhalt in bundesrechtswidriger Weise, insbesondere unvollständig erhoben worden. Diese Lücke lässt sich auch durch die im Verwaltungsverfahren erstellte Aktenlage nicht schliessen. Ein darin enthaltenes Leistungsplanungsblatt der Spitex (RAI-HC Schweiz) weist für die Periode vom 1. Januar 2019 bis 30. Juni 2019 unter dem Titel von Art. 7 Abs. 2 lit. c KLV insgesamt einen Bedarf von 23'892 Minuten aus, was - umgerechnet auf den Monat - 66.37 Stunden entspricht, wie beschwerdeweise richtig vorgebracht wird. Aus der Leistungsbeschreibung ergibt sich dabei, dass die Dekubitusprophylaxe (3 x 20 Minuten täglich an 7 Tagen pro Woche) gerade nicht dem Bereich von Art. 7 Abs. 2 lit. c (Grundpflege), sondern Art. 7 Abs. 2 lit. b KLV (Behandlungspflege) zugeordnet ist. Demnach findet sie sich in den 66.37 Stunden pro Monat gerade nicht berücksichtigt. Dass der im Übrigen hinsichtlich der allgemeinen Lebensverrichtungen und der dauernden Überwachung bestehende Hilfebedarf im Sinne des Urteils 8C_81/2021 umfassend erhoben worden wäre, lässt sich nach Aktenlage nicht ersehen.</w:t>
      </w:r>
    </w:p>
    <w:p>
      <w:r>
        <w:rPr>
          <w:b/>
        </w:rPr>
        <w:t>E. 6.3</w:t>
      </w:r>
    </w:p>
    <w:p>
      <w:r>
        <w:t>Damit besteht im vorliegenden Fall Anlass zu weiteren Abklärungen. Dafür ist die Sache an die Beschwerdegegnerin zurückzuweisen.</w:t>
      </w:r>
    </w:p>
    <w:p>
      <w:r>
        <w:rPr>
          <w:b/>
        </w:rPr>
        <w:t>E. 7</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(vgl. BGE 137 V 210 E. 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