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943/2011 vom 26. November 2012</w:t>
      </w:r>
    </w:p>
    <w:p>
      <w:r>
        <w:t>Bundesgericht, 2012-11-26, FR</w:t>
      </w:r>
    </w:p>
    <w:p>
      <w:r>
        <w:rPr>
          <w:b/>
        </w:rPr>
        <w:t xml:space="preserve">Quelle: </w:t>
      </w:r>
      <w:r>
        <w:t>https://mcp.opencaselaw.ch/entscheid/bger_8C_943_2011</w:t>
      </w:r>
    </w:p>
    <w:p>
      <w:r>
        <w:t>FR: TF 8C 943/2011 du 26 novembre 2012</w:t>
      </w:r>
    </w:p>
    <w:p>
      <w:r>
        <w:t>IT: TF 8C 943/2011 del 26 novembre 2012</w:t>
      </w:r>
    </w:p>
    <w:p>
      <w:pPr>
        <w:pStyle w:val="Heading2"/>
      </w:pPr>
      <w:r>
        <w:t>Regeste</w:t>
      </w:r>
    </w:p>
    <w:p>
      <w:r>
        <w:t>Droit de la fonction publique (prescription) | Fonction publique</w:t>
      </w:r>
    </w:p>
    <w:p>
      <w:pPr>
        <w:pStyle w:val="Heading2"/>
      </w:pPr>
      <w:r>
        <w:t>Erwägungen</w:t>
      </w:r>
    </w:p>
    <w:p>
      <w:r>
        <w:rPr>
          <w:b/>
        </w:rPr>
        <w:t>E. 1.1</w:t>
      </w:r>
    </w:p>
    <w:p>
      <w:r>
        <w:t>La décision attaquée a été rendue dans une cause en matière de rapports de travail de droit public. 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w:t>
      </w:r>
    </w:p>
    <w:p>
      <w:r>
        <w:rPr>
          <w:b/>
        </w:rPr>
        <w:t>E. 1.2</w:t>
      </w:r>
    </w:p>
    <w:p>
      <w:r>
        <w:t>La recourante ne conclut pas au versement d'une somme d'argent, mais elle demande que son salaire soit fixé selon la classe de traitement 16-19 avec 10 annuités. Dès lors que cette conclusion a un but économique qui peut être apprécié en argent, il y a lieu de considérer qu'il s'agit d'une contestation de nature pécuniaire. Il s'ensuit que le motif d'exclusion de l' art. 83 let . g LTF n'entre pas en considération.</w:t>
      </w:r>
    </w:p>
    <w:p>
      <w:r>
        <w:rPr>
          <w:b/>
        </w:rPr>
        <w:t>E. 1.3</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L'autorité cantonale, conformément à l' art. 112 al. 1 let . d LTF, indique que la valeur litigieuse est de 52'024 fr., laquelle n'est pas contestée. On peut dès lors s'y référer ( art. 51 al. 2 LTF ).</w:t>
      </w:r>
    </w:p>
    <w:p>
      <w:r>
        <w:rPr>
          <w:b/>
        </w:rPr>
        <w:t>E. 1.4</w:t>
      </w:r>
    </w:p>
    <w:p>
      <w:r>
        <w:t>La voie du recours en matière de droit public étant ouverte, le recours constitutionnel subsidiaire est d'emblée irrecevable ( art. 113 LTF ).</w:t>
      </w:r>
    </w:p>
    <w:p>
      <w:r>
        <w:rPr>
          <w:b/>
        </w:rPr>
        <w:t>E. 2</w:t>
      </w:r>
    </w:p>
    <w:p>
      <w:r>
        <w:t>L'art. 16 al. 1 de la loi du 12 novembre 2001 sur le personnel de l'Etat de Vaud (LPers-VD; RS/VD 172.31), dans sa teneur en vigueur depuis le 1er janvier 2011, renvoie aux art. 103 ss du Code de droit privé judiciaire vaudois du 12 janvier 2010 (CDPJ; RS/VD 211.02) s'agissant de la procédure à suivre devant le Tribunal de prud'hommes de l'administration cantonale. Ces dispositions renvoient à leur tour, et sauf disposition légale contraire, aux règles du code de procédure civile suisse du 19 décembre 2008 (entré en vigueur le 1er janvier 2011) à titre de droit supplétif. Comme la présente cause au fond était déjà pendante devant le Tribunal de prud'hommes avant le 1er janvier 2011, les premiers juges considèrent toutefois que c'est l' art. 16 al. 1 LPers dans son ancienne teneur qui reste applicable, norme qui renvoyait au Chapitre II du Titre II de la loi du 17 mai 1999 sur la juridiction du travail (aLJT), régissant la procédure devant le Tribunal de prud'hommes. Ce point n'est pas litigieux devant le Tribunal fédéral.</w:t>
      </w:r>
    </w:p>
    <w:p>
      <w:r>
        <w:rPr>
          <w:b/>
        </w:rPr>
        <w:t>E. 3</w:t>
      </w:r>
    </w:p>
    <w:p>
      <w:r>
        <w:t>Par un grief d'ordre formel qu'il convient d'examiner en premier lieu, la recourante se plaint d'une violation de son droit d'être entendue. Elle expose qu'à l'appui de son mémoire de réponse à l'appel interjeté par l'intimé contre le jugement du TRIPAC, elle a produit six pièces (divers courriers et courriels) tendant à démontrer qu'elle n'avait cessé de questionner les éléments entrant dans le calcul de sa rémunération après son réengagement en 2007 et qu'elle avait émis des objections à leur sujet. Par ailleurs, elle avait requis des mesures d'instruction (audition de la cheffe de service adjointe au Bureau vaudois de l'égalité entre les femmes et les hommes [BEFH], ainsi que la production par le BEFH de l'intégralité de son dossier). La Chambre des recours s'est non seulement bornée à déclarer irrecevables les pièces produites mais elle n'a pas non plus motivé les raisons pour lesquelles elle n'a pas donné suite aux réquisitions des mesures d'instruction précitées. Or, dans l'arrêt entrepris, la Chambre des recours aurait reproché à la recourante d'avoir attendu plus d'une année après avoir reçu son contrat pour remettre en cause ses conditions d'engagement, plus particulièrement la fixation de son salaire, ce que les pièces produites et les réquisitions de preuves avaient pour but d'infirmer.</w:t>
      </w:r>
    </w:p>
    <w:p>
      <w:r>
        <w:rPr>
          <w:b/>
        </w:rPr>
        <w:t>E. 3.1</w:t>
      </w:r>
    </w:p>
    <w:p>
      <w:r>
        <w:t>Le droit d'être entendu comporte notamment le droit à l'administration de preuves valablement offertes. Il n'y a toutefois pas violation de ce droit,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134 I 140 consid. 5.3 p. 148).</w:t>
      </w:r>
    </w:p>
    <w:p>
      <w:r>
        <w:rPr>
          <w:b/>
        </w:rPr>
        <w:t>E. 3.2</w:t>
      </w:r>
    </w:p>
    <w:p>
      <w:r>
        <w:t>En l'espèce, la juridiction cantonale a considéré que la recourante n'avait pas agi dans le délai de péremption d'une année depuis la connaissance de ses conditions d'engagement (au plus tard au printemps 2007), de sorte que son action déposée le 19 janvier 2009 était manifestement prescrite. Au vu du raisonnement de la juridiction cantonale, les pièces produites par la recourante et les mesures probatoires sollicitées n'auraient eu aucun effet sur le sort de la procédure. Dans ces conditions, procédant à une appréciation anticipée des preuves, le tribunal cantonal n'a pas violé le droit d'être entendu de la recourante en écartant les pièces produites, respectivement en écartant ses réquisitions de preuves. Le grief tiré de la violation du droit d'être entendu doit être écarté.</w:t>
      </w:r>
    </w:p>
    <w:p>
      <w:r>
        <w:rPr>
          <w:b/>
        </w:rPr>
        <w:t>E. 4</w:t>
      </w:r>
    </w:p>
    <w:p>
      <w:r>
        <w:t>La loi fédérale sur l'égalité entre femmes et hommes est réservée. (...)</w:t>
      </w:r>
    </w:p>
    <w:p>
      <w:r>
        <w:rPr>
          <w:b/>
        </w:rPr>
        <w:t>E. 4.1</w:t>
      </w:r>
    </w:p>
    <w:p>
      <w:r>
        <w:t>Sauf dans les cas cités expressément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 ATF 133 III 462 consid. 2.3 p. 466).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1.4.2 p. 254 et les références).</w:t>
      </w:r>
    </w:p>
    <w:p>
      <w:r>
        <w:rPr>
          <w:b/>
        </w:rPr>
        <w:t>E. 4.2</w:t>
      </w:r>
    </w:p>
    <w:p>
      <w:r>
        <w:t>Sous le titre «procédure», l' art. 16 LPers prévoit ceci: 1 Les dispositions de procédure fixées au titre II de la loi du 17 mai 1999 sur la juridiction du travail s'appliquent par analogie. 2 Le for de l'action est à Lausanne. 3 L'action se prescrit par un an lorsqu'elle tend exclusivement à des conclusions pécuniaires fondées notamment sur une résiliation du contrat (art. 58 à 61) et par soixante jours dans les autres causes. La prescription court dès que la créance est devenue exigible ou dès la communication de la décision contestée.</w:t>
      </w:r>
    </w:p>
    <w:p>
      <w:r>
        <w:rPr>
          <w:b/>
        </w:rPr>
        <w:t>E. 4.3</w:t>
      </w:r>
    </w:p>
    <w:p>
      <w:r>
        <w:t>Les premiers juges se sont tout d'abord demandé si la détermination du salaire de la recourante constituait une décision au sens de l' art. 16 al. 3 LPers . Dans la mesure où il découlait de l' art. 19 LPers que les rapports de travail entre l'Etat et ses collaborateurs étaient régis par le droit public (al. 1) et que l'engagement et la désignation avaient lieu sous la forme d'un contrat écrit conclu pour une durée indéterminée (al. 2), ils ont considéré que le salaire était fixé par le contrat de droit administratif et ne faisait par conséquent pas l'objet d'une décision. La juridiction précédente s'est ensuite demandé quel était le dies a quo du délai d'une année prévu par l' art. 16 al. 3 LPers . Elle a considéré que faire partir le dies a quo de l'exigibilité de la créance, comme l'avaient fait les juges du TRIPAC, revenait à admettre que l'employé pouvait en tout temps contester les termes de son engagement, les prétentions financières en découlant ne pouvant toutefois être formulées que pour l'année précédant la demande en justice. Cette solution n'était pas admissible au regard des principes de sécurité et de confiance. Selon la Chambre des recours, l' art. 16 al. 3 LPers instituait un délai de procédure limitant la possibilité pour le collaborateur de contester ses conditions d'engagement au-delà du délai d'une année depuis qu'il avait eu connaissance de ses conditions d'engagement. Le texte de l' art. 16 al. 3 LPers mentionnait la prescription de l'action, renvoyant ainsi à la possibilité de saisir le TRIPAC et non aux prétentions que le collaborateur pouvait faire valoir devant cette autorité.</w:t>
      </w:r>
    </w:p>
    <w:p>
      <w:r>
        <w:rPr>
          <w:b/>
        </w:rPr>
        <w:t>E. 5.1</w:t>
      </w:r>
    </w:p>
    <w:p>
      <w:r>
        <w:t>Sur le plan littéral, on constate que le texte de l' art. 16 al. 3 LPers parle de «prescription de l'action», en prévoyant deux délais distincts, d'un an pour l'action tendant exclusivement à des conclusions pécuniaires et de 60 jours pour les autres causes. Contrairement à ce qu'a retenu la juridiction cantonale de deuxième instance, l' art. 16 al. 3 LPers n'institue pas un «délai de procédure», mais constitue, conformément à sa lettre, une règle classique de prescription, à l'instar des art. 60, 67 ou 127 CO . Le texte de l' art. 127 CO (tout comme celui des art. 60 ou 67 CO ), qui indique que «toutes les actions se prescrivent» désigne précisément l'effet de la prescription sur la créance, à savoir l'extinction du droit d'action qui est lié à la créance; l'objet de la prescription demeure toutefois la créance elle-même et non un droit d'action (PASCAL PICHONNAZ, in Commentaire romand, Code des obligations I, 2e éd. 2012, n° 9 ad art. 127 CO ). Comme la disposition topique du CO (cf. art. 130 al. 1 CO ), l'art. 16 al. 3, deuxième phrase, LPers fixe l'exigibilité de la créance comme point de départ de la prescription («dès que la créance est devenue exigible»). Le délai de prescription court donc à partir du moment où le créancier a le droit d'exiger la prestation du débiteur. En l'occurrence, l'intimée a contesté la fixation de son salaire initial intervenue lors de son réengagement à la Direction générale de l'enseignement obligatoire en février 2007. Ses conclusions ont donc porté sur des créances ayant un caractère salarial. Or, le salaire est en principe dû pour chaque mois de travail, à la fin du mois, de sorte que la créance de salaire naît pour chaque mois séparément et est exigible au terme de celui-ci. Aussi, le collaborateur de la fonction publique peut-il réclamer à son employeur les créances de salaire dès qu'elles sont devenues exigibles, mais seulement pour l'année précédente, en raison de la prescription prévue à l' art. 16 al. 3 LPers . En d'autres termes, le collaborateur peut en principe contester en tout temps le salaire qui lui est versé, mais la créance salariale se prescrit une année à partir du moment où elle est exigible. Compte tenu de la date à partir de laquelle les créances salariales étaient exigibles et celle à laquelle l'intimée a déposé sa demande (le 19 janvier 2009), les éventuels arriérés de salaire seraient dus à partir du 20 janvier 2008.</w:t>
      </w:r>
    </w:p>
    <w:p>
      <w:r>
        <w:rPr>
          <w:b/>
        </w:rPr>
        <w:t>E. 5.2</w:t>
      </w:r>
    </w:p>
    <w:p>
      <w:r>
        <w:t>D'un point de vue systématique, on relèvera que l' art. 16 al. 4 LPers prévoit une réserve en faveur de la loi fédérale sur l'égalité (LEg; RS 151.1). En matière de discrimination salariale fondée sur le sexe, l'employé dispose d'une action en paiement du salaire ( art. 5 al. 1 let . d LEg), laquelle porte sur les arriérés de rémunération. En droit privé comme en droit public, le délai de prescription des créances salariales fondées sur l' art. 5 al. 1 let . d LEg est de cinq ans ( art. 128 ch. 3 CO ) et commence à courir le dernier jour du mois, s'agissant du salaire mensuel (GABRIEL AUBERT/KARINE LEMPEN, Commentaire de la loi fédérale sur l'égalité, Genève 2011, p. 133). On peut donc en inférer que le renvoi à la LEg prévu par l' art. 16 al. 4 LPers a seulement pour effet de réserver un délai de prescription (de cinq ans) plus long que le délai annal de l' art. 16 al. 3 LPers et que, pour le reste, la loi ne règle pas différemment le dies a quo de chacun des délais.</w:t>
      </w:r>
    </w:p>
    <w:p>
      <w:r>
        <w:rPr>
          <w:b/>
        </w:rPr>
        <w:t>E. 5.3</w:t>
      </w:r>
    </w:p>
    <w:p>
      <w:r>
        <w:t>Suivre, enfin, le point de vue de la Chambre des recours, et admettre que le collaborateur puisse contester le salaire initial uniquement au moment de son engagement et dans l'année qui suit, reviendrait à laisser subsister des situations non conformes à la Constitution fédérale ou à des normes impératives de droit public. Or, selon la jurisprudence, la personne concernée peut invoquer en tout temps la garantie générale de l'égalité de l' art. 8 al. 1 Cst. , en cas, par exemple, de rémunérations inégales dont le caractère discriminatoire n'est pas fondé sur le sexe. A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appropriée et dans un délai raisonnable. A cet égard, il est justifié de prendre en considération le moment auquel l'intéressé a contesté l'inégalité en question pour la première fois ( ATF 131 I 105 consid. 3.6 et 3.7 p. 109 ss). On ne saurait donc restreindre dans un tel cas, dans lequel est invoquée la violation d'une garantie constitutionnelle ou d'une norme impérative de droit public, la possibilité de contester le salaire initialement fixé, dans les limites de la prescription applicable aux créances salariales.</w:t>
      </w:r>
    </w:p>
    <w:p>
      <w:r>
        <w:rPr>
          <w:b/>
        </w:rPr>
        <w:t>E. 5.4</w:t>
      </w:r>
    </w:p>
    <w:p>
      <w:r>
        <w:t>Autre est en revanche la question de savoir si l'employé peut contester un salaire initial librement consenti notamment lorsque ses droits constitutionnels ne sont pas en jeu. Il s'agit là d'une question qui ne relève pas de la prescription, mais du bien-fondé de la demande. Aussi, en limitant de manière générale la possibilité pour un agent de la fonction publique d'agir en justice pour contester son salaire initial une année après avoir eu connaissance de ses conditions d'engagement, les premiers juges ont fait une application arbitraire de l' art. 16 al. 3 LPers . Il convient dès lors d'annuler le jugement attaqué et de renvoyer la cause à la Chambre des recours pour qu'elle rende une nouvelle décision, compte tenu des considérants qui précèdent.</w:t>
      </w:r>
    </w:p>
    <w:p>
      <w:r>
        <w:rPr>
          <w:b/>
        </w:rPr>
        <w:t>E. 6</w:t>
      </w:r>
    </w:p>
    <w:p>
      <w:r>
        <w:t>Il s'ensuit que le recours est bien fondé. Vu l'issue du litige, l'intimé supportera les frais judiciaires ( art. 66 al. 1 LTF ). Il versera en outre une indemnité de dépens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