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8C_942/2009 vom 29. März 2010</w:t>
      </w:r>
    </w:p>
    <w:p>
      <w:r>
        <w:t>Bundesgericht, 2010-03-29, DE</w:t>
      </w:r>
    </w:p>
    <w:p>
      <w:r>
        <w:rPr>
          <w:b/>
        </w:rPr>
        <w:t xml:space="preserve">Quelle: </w:t>
      </w:r>
      <w:r>
        <w:t>https://mcp.opencaselaw.ch/entscheid/bger_8C_942_2009</w:t>
      </w:r>
    </w:p>
    <w:p>
      <w:r>
        <w:t>FR: TF 8C_942/2009 du 29 mars 2010</w:t>
      </w:r>
    </w:p>
    <w:p>
      <w:r>
        <w:t>IT: TF 8C_942/2009 del 29 marzo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Gemäss Art. 99 Abs. 1 BGG dürfen neue Tatsachen und Beweismittel im bundesgerichtlichen Verfahren nur so weit vorgebracht werden, als erst der Entscheid der Vorinstanz dazu Anlass gibt. Neue Begehren sind nach Art. 99 Abs. 2 BGG unzulässig.</w:t>
      </w:r>
    </w:p>
    <w:p>
      <w:r>
        <w:rPr>
          <w:b/>
        </w:rPr>
        <w:t>E. 2.2</w:t>
      </w:r>
    </w:p>
    <w:p>
      <w:r>
        <w:t>Die Voraussetzungen, unter denen die von der Beschwerdeführerin neu eingereichten Unterlagen ausnahmsweise zulässig wären, sind vorliegend nicht erfüllt, so dass diese unbeachtet bleiben müssen.</w:t>
      </w:r>
    </w:p>
    <w:p>
      <w:r>
        <w:rPr>
          <w:b/>
        </w:rPr>
        <w:t>E. 2.3</w:t>
      </w:r>
    </w:p>
    <w:p>
      <w:r>
        <w:t>Die Beschwerdeführerin macht vor Bundesgericht neu geltend, das gesundheitliche Leiden bestehe bereits seit einem Unfallereignis im Jahre 2004. Sie beantragt in diesem Zusammenhang die Edition der Akten der Unfallversicherung zu diesem Ereignis. Aufgrund von Art. 99 BGG ist diesem Antrag nicht stattzugeben. Aus demselben Grund ist auch der erstmals vor Bundesgericht gestellte Antrag abzuweisen, weitere Akten der Krankentaggeldversicherung beizuziehen.</w:t>
      </w:r>
    </w:p>
    <w:p>
      <w:r>
        <w:rPr>
          <w:b/>
        </w:rPr>
        <w:t>E. 3.1</w:t>
      </w:r>
    </w:p>
    <w:p>
      <w:r>
        <w:t>Der Anspruch auf Leistungen der Invalidenversicherung setzt unter anderem voraus, dass die versicherte Person invalid oder von Invalidität unmittelbar bedroht ist. Invalidität ist gemäss Art. 8 Abs. 1 ATSG (SR 830.1) die voraussichtlich bleibende oder längere Zeit dauernde ganze oder teilweise Erwerbsunfähigkeit.</w:t>
      </w:r>
    </w:p>
    <w:p>
      <w:r>
        <w:rPr>
          <w:b/>
        </w:rPr>
        <w:t>E. 3.2</w:t>
      </w:r>
    </w:p>
    <w:p>
      <w:r>
        <w:t>Wie das kantonale Gericht zutreffend erwogen hat, ist hinsichtlich des Beweiswertes eines Arztberichtes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w:t>
      </w:r>
    </w:p>
    <w:p>
      <w:r>
        <w:rPr>
          <w:b/>
        </w:rPr>
        <w:t>E. 3.3</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4</w:t>
      </w:r>
    </w:p>
    <w:p>
      <w:r>
        <w:t>Streitig und zu prüfen ist, ob die Vorinstanz Bundesrecht verletzte, indem sie das Vorliegen eines invalidisierenden Gesundheitsschadens verneinte.</w:t>
      </w:r>
    </w:p>
    <w:p>
      <w:r>
        <w:rPr>
          <w:b/>
        </w:rPr>
        <w:t>E. 5.1</w:t>
      </w:r>
    </w:p>
    <w:p>
      <w:r>
        <w:t>Das kantonale Gericht hat in ausführlicher Würdigung der medizinischen Akten, insbesondere aber gestützt auf die interdisziplinäre Begutachtung durch die Dres. med. U.________, FMH Innere Medizin und Rheumaerkrankungen, und H.________, FMH Psychiatrie und Psychotherapie, vom 26. Januar 2009 für das Bundesgericht grundsätzlich verbindlich festgestellt, dass die Beschwerdeführerin in der Lage wäre, ihre bisherige oder jede andere angepasste Tätigkeit zu 90 % auszuführen. Die Versicherte macht demgegenüber geltend, die Gutachten der Dres. med. U.________ und H.________ entsprächen nicht den durch die Rechtsprechung entwickelten Kriterien, weshalb nicht auf sie abzustellen sei.</w:t>
      </w:r>
    </w:p>
    <w:p>
      <w:r>
        <w:rPr>
          <w:b/>
        </w:rPr>
        <w:t>E. 5.2</w:t>
      </w:r>
    </w:p>
    <w:p>
      <w:r>
        <w:t>Gegen die Begutachtung durch Dr. med. H.________ bringt die Beschwerdeführerin vor, das Explorationsgespräch habe lediglich zwanzig bis dreissig Minuten gedauert. Die Vorinstanz hat zur Dauer des Gespräches keine verbindliche Feststellung getroffen, sondern zutreffenderweise erwogen, dass es für den Aussagegehalt eines medizinischen Gutachtens grundsätzlich nicht auf die Dauer der Untersuchung ankommt; massgebend ist in erster Linie, ob die Expertise inhaltlich vollständig und im Ergebnis schlüssig ist (vgl. die Urteile 9C_1013/2008 vom 23. Dezember 2009 E. 5.3.3 und 9C_55/2009 vom 1. April 2009 E. 3.3 mit Hinweisen). Immerhin muss der für eine psychiatrische Untersuchung zu betreibende zeitliche Aufwand der Fragestellung und der zu beurteilenden Psychopathologie angemessen sein (vgl. die Urteile 9C_676/2009 vom 17. Dezember 2009 E. 3 und I 1094/06 vom 14. November 2007 E. 3.1.1). Dabei kann bei der Beurteilung einer somatoformen Schmerzstörung und deren Überwindbarkeit eine zwanzigminütige Untersuchung ausreichen, wenn keine konkreten Hinweise vorliegen, dass sich die kurze Untersuchungsdauer negativ auf die Qualität des Gutachtens ausgewirkt haben (Urteil 9C_170/2009 vom 6. Mai 2009 E. 2.2). Solche Hinweise werden in der Beschwerde nicht dargetan. Somit hat die Vorinstanz kein Bundesrecht verletzt, als sie ihre Sachverhaltsfeststellung auf das Gutachten des Dr. med. H.________ stützte.</w:t>
      </w:r>
    </w:p>
    <w:p>
      <w:r>
        <w:rPr>
          <w:b/>
        </w:rPr>
        <w:t>E. 5.3</w:t>
      </w:r>
    </w:p>
    <w:p>
      <w:r>
        <w:t>Die Versicherte macht weiter geltend, das Gutachten des Dr. med. U.________ verstosse gegen die Grundsätze, welche das Bundesgericht zur Begutachtung von Distorsionstraumata der Halswirbelsäule und ähnlichen Verletzungen entwickelt und auch für die Invalidenversicherung für anwendbar erklärt hat (vgl. Urteil 8C_437/2008 vom 30. Juli 2009 E. 6.3). Dieser Einwand geht fehl: Gegenüber dem Gutachter beklagte sich die Versicherte am 23. Januar 2009 in erster Linie über Schmerzen am ganzen Körper, wobei vordergründig die untere und mittlere Rückenregion, die Hände und die Füsse schmerzhaft seien. Damit stand ein Leiden zur Abklärung, welches nicht als dem nach Schleudertraumata oftmals beobachteten und daher als typisch bezeichneten vielschichtigen Beschwerdebild zugehörig betrachtet werden kann. Aus der Rechtsprechung des Bundesgerichtes zu HWS-Distorsionen kann die Versicherte somit vorliegend nichts zu ihren Gunsten ableiten; das kantonale Gericht hat nicht gegen Bundesrecht verstossen, als es auf das Gutachten des Dr. med. U.________ abstellte.</w:t>
      </w:r>
    </w:p>
    <w:p>
      <w:r>
        <w:rPr>
          <w:b/>
        </w:rPr>
        <w:t>E. 5.4</w:t>
      </w:r>
    </w:p>
    <w:p>
      <w:r>
        <w:t>Durfte die Vorinstanz auf die Gutachten der Dres. med. H.________ und U.________ abstellen, so ist die Ablehnung eines Rentenanspruches nicht zu beanstanden; die Beschwerde ist demgemäss abzuweisen.</w:t>
      </w:r>
    </w:p>
    <w:p>
      <w:r>
        <w:rPr>
          <w:b/>
        </w:rPr>
        <w:t>E. 6.1</w:t>
      </w:r>
    </w:p>
    <w:p>
      <w:r>
        <w:t>Die unentgeltliche Rechtspflege kann gewährt werden, da die Beschwerdeführerin bedürftig, die Beschwerde nicht als aussichtslos zu bezeichnen ist und eine Vertretung geboten war ( Art. 64 Abs. 1 und 2 BGG ). Es wird indessen ausdrücklich auf Art. 64 Abs. 4 BGG hingewiesen, wonach die begünstigte Partei der Gerichtskasse Ersatz zu leisten hat, wenn sie später dazu in der Lage ist.</w:t>
      </w:r>
    </w:p>
    <w:p>
      <w:r>
        <w:rPr>
          <w:b/>
        </w:rPr>
        <w:t>E. 6.2</w:t>
      </w:r>
    </w:p>
    <w:p>
      <w:r>
        <w:t>Dem Ausgang des Verfahrens entsprechend sind die Gerichtskosten der Beschwerdeführerin aufzuerlegen ( Art. 66 Abs. 1 BGG ). Zufolge Gewährung der unentgeltlichen Rechtspflege werden sie indessen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