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941/2010 vom 18. Mai 2011</w:t>
      </w:r>
    </w:p>
    <w:p>
      <w:r>
        <w:t>Bundesgericht, 2011-05-18, FR</w:t>
      </w:r>
    </w:p>
    <w:p>
      <w:r>
        <w:rPr>
          <w:b/>
        </w:rPr>
        <w:t xml:space="preserve">Quelle: </w:t>
      </w:r>
      <w:r>
        <w:t>https://mcp.opencaselaw.ch/entscheid/bger_8C_941_2010</w:t>
      </w:r>
    </w:p>
    <w:p>
      <w:r>
        <w:t>FR: TF 8C 941/2010 du 18 mai 2011</w:t>
      </w:r>
    </w:p>
    <w:p>
      <w:r>
        <w:t>IT: TF 8C 941/2010 del 18 maggio 2011</w:t>
      </w:r>
    </w:p>
    <w:p>
      <w:pPr>
        <w:pStyle w:val="Heading2"/>
      </w:pPr>
      <w:r>
        <w:t>Regeste</w:t>
      </w:r>
    </w:p>
    <w:p>
      <w:r>
        <w:t>Assurance-invalidité (rente d'invalidité; appréciation des preuves) | Assurance-invalidité</w:t>
      </w:r>
    </w:p>
    <w:p>
      <w:pPr>
        <w:pStyle w:val="Heading2"/>
      </w:pPr>
      <w:r>
        <w:t>Erwägungen</w:t>
      </w:r>
    </w:p>
    <w:p>
      <w:r>
        <w:rPr>
          <w:b/>
        </w:rPr>
        <w:t>E. 1</w:t>
      </w:r>
    </w:p>
    <w:p>
      <w:r>
        <w:t>Les causes 8C_406/2010 et 8C_941/2010 concernent deux décisions distinctes et n'opposent pas les mêmes parties, de sorte qu'il ne se justifie pas de joindre ces procédures. Le Tribunal fédéral traitera néanmoins des deux recours en parallèle.</w:t>
      </w:r>
    </w:p>
    <w:p>
      <w:r>
        <w:rPr>
          <w:b/>
        </w:rPr>
        <w:t>E. 2.1</w:t>
      </w:r>
    </w:p>
    <w:p>
      <w:r>
        <w:t>Le recours en matière de droit public ( art. 82 ss LTF ) peut être formé pour violation du droit, tel qu'il est délimité par les art. 95 et 96 LTF . Le Tribunal fédéral applique le droit d'office ( art. 106 al. 1 LTF ). Il statue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litige porte sur le droit éventuel du recourant à une rente de l'assurance-invalidité. A cet égard, la juridiction cantonale a exposé les dispositions légales topiques, ainsi que les principes jurisprudentiels sur le fond et en matière de preuve, en particulier les règles sur la libre appréciation des preuves (au sens de l' art. 61 let . c LPGA) et le devoir en découlant de procéder à une appréciation complète, rigoureuse et objective des rapports médicaux en relation avec leur contenu. Il suffit de renvoyer à son jugement.</w:t>
      </w:r>
    </w:p>
    <w:p>
      <w:r>
        <w:rPr>
          <w:b/>
        </w:rPr>
        <w:t>E. 4</w:t>
      </w:r>
    </w:p>
    <w:p>
      <w:r>
        <w:t>Le recourant se plaint en substance d'une constatation manifestement inexacte des faits pertinents consécutive à une appréciation arbitraire des preuves. Il soutient que les premiers juges ne pouvaient valablement accorder une valeur probante au rapport du docteur S.________ en raison notamment de l'existence de contradictions insurmontables entre les déclarations de l'expert et celles du docteur R.________, ainsi que de l'importance donnée par ledit expert, dans son appréciation globale du cas, au contenu de l'appel téléphonique qu'il avait adressé au recourant en cours d'expertise. Par ailleurs, les autres pièces médicales au dossier (des docteurs R.________, N.________, C.________ et O.________) faisaient unanimement état d'une incapacité de travail totale pour des motifs psychiques, ce qui aurait également dû conduire la juridiction cantonale à relativiser la valeur du rapport d'expertise du docteur S.________, voire à ordonner un complément d'instruction.</w:t>
      </w:r>
    </w:p>
    <w:p>
      <w:r>
        <w:rPr>
          <w:b/>
        </w:rPr>
        <w:t>E. 5.1</w:t>
      </w:r>
    </w:p>
    <w:p>
      <w:r>
        <w:t>On doit admettre que le diagnostic et la capacité de travail retenus par le docteur S.________ se fondent en grande partie sur des éléments d'appréciation contestés et contestables. Des résultats du test sanguin effectué sur B.________, l'expert a retenu que le prénommé n'était pas observant à l'antidépresseur qui lui était prescrit (soit le médicament Y.________). Or, le docteur R.________ a indiqué que les résultats obtenus s'expliquaient par le fait qu'il avait changé la médication de son patient; pour lui, B.________ était tout à fait observant. Un autre élément problématique réside dans les entretiens, relatés dans le rapport d'expertise, du docteur S.________ avec M. A.________, psychologue, le 23 janvier 2009, respectivement avec le docteur R.________, le 6 février 2009. Selon le compte-rendu qu'en a fait l'expert, les contacts entre B.________ et M. A.________ avaient été infructueux en raison d'un défaut de volonté du patient, lequel avait donné l'impression au psychologue de vouloir profiter de l'assurance; quant au médecin traitant, il aurait ignoré l'absence de suivi auprès de M. A.________ et se serait montré d'accord avec une reprise de travail de son patient en l'état actuel de la situation. Ces propos sont toutefois entièrement contestés par le docteur R.________ qui prétend n'avoir jamais eu d'entretien avec le docteur S.________. Le médecin traitant a également précisé que c'était le manque de disponibilité de M. A.________ qui avait conduit celui-ci à refuser de suivre B.________ et non le comportement de ce dernier. Il s'agit, enfin, du second entretien du docteur S.________ avec l'assuré en date du 6 février 2009, dont il s'est avéré après coup qu'il s'est déroulé non pas dans le cabinet du médecin, mais par téléphone.</w:t>
      </w:r>
    </w:p>
    <w:p>
      <w:r>
        <w:rPr>
          <w:b/>
        </w:rPr>
        <w:t>E. 5.2</w:t>
      </w:r>
    </w:p>
    <w:p>
      <w:r>
        <w:t>Contrairement à ce que pense le tribunal cantonal, ces éléments sont de nature à affecter la valeur probante du rapport du docteur S.________. Il n'y a, a priori, aucun motif de tenir les déclarations du docteur R.________ pour moins crédibles que celles de l'expert, nonobstant les explications que ce dernier a fournies à ce sujet. Sans autres mesures d'instruction (on peut penser par exemple à la production d'une fiche d'appel téléphonique en ce qui concerne l'existence de l'entretien avec le médecin traitant), on ne voit pas ce qui permettait aux premiers juges d'écarter purement et simplement les objections du docteur R.________. En outre, c'est à tort qu'ils n'ont attaché qu'une importance relative au fait que le second entretien entre l'expert et l'assuré s'est effectué par téléphone. Selon la jurisprudence, une expertise psychiatrique doit en principe se faire sur la base d'une consultation médicale (arrêt U 492/00 du 31 juillet 2001 consid. 3d, publié in RAMA 2001 n° U 438 p. 345). En l'espèce, le docteur S.________ a certes procédé à un examen personnel du recourant. Alors qu'à l'issue de cet examen, le psychiatre s'est dit frappé par l'allure abattue, déprimée et ralentie de B.________, il est en quelque sorte revenu sur son impression à la suite de la conversation téléphonique avec le prénommé au cours de laquelle celui-ci lui a paru «plus fluide dans son expression, dans ses formulations, sans aucun signe de perturbation cognitive majeure». Cette conversation, qui a eu lieu après la prise de contact - contestée - avec le docteur R.________, a été déterminante dans l'opinion que s'est forgée l'expert sur l'état de santé du recourant. On ne saurait cependant placer sur le même pied, sous l'angle de leur force probante, les constatations faites par un expert lors d'un examen personnel de l'intéressé dans son cabinet médical, de celles résultant d'un entretien téléphonique avec la personne expertisée. Dans le cas présent, on peut émettre d'autant plus de réserves que le docteur S.________ n'a donné aucune précision sur cet entretien - on n'en connaît ni le contexte ni la durée. Aussi bien, en retenant que l'avis de ce médecin était probant en dépit de ces points controversés, les premiers juges ont-ils procédé à une appréciation arbitraire des preuves.</w:t>
      </w:r>
    </w:p>
    <w:p>
      <w:r>
        <w:rPr>
          <w:b/>
        </w:rPr>
        <w:t>E. 5.3</w:t>
      </w:r>
    </w:p>
    <w:p>
      <w:r>
        <w:t>Cela étant, le dossier ne comprend pas une autre évaluation circonstanciée de la situation. On peut à cet égard, renvoyer aux considérations pertinentes des juges cantonaux. En particulier, l'analyse du docteur C.________, relativement sommaire et insuffisamment différenciée, n'emporte pas la conviction. Dans ces circonstances, il convient de retourner la cause à l'intimé pour qu'il ordonne une nouvelle expertise psychiatrique. Il appartiendra à l'expert de procéder à une appréciation rétrospective de l'état psychique du recourant et de ses répercussions sur sa capacité à exercer une activité lucrative. Après quoi l'intimé rendra une nouvelle décision. Dans cette mesure, le recours se révèle bien fondé.</w:t>
      </w:r>
    </w:p>
    <w:p>
      <w:r>
        <w:rPr>
          <w:b/>
        </w:rPr>
        <w:t>E. 6</w:t>
      </w:r>
    </w:p>
    <w:p>
      <w:r>
        <w:t>Selon la jurisprudence, les frais d'expertise privée peuvent être inclus dans les dépens mis à la charge de l'assureur social, lorsque cette expertise était nécessaire à la résolution du litige ( ATF 135 V 473 ; 115 V 62 ). En l'occurrence, ce n'est pas l'expertise du docteur C.________ qui a amené la Cour de céans à remettre en cause la valeur probante du rapport du docteur S.________, si bien que la conclusion du recourant tendant à la prise en charge des frais de l'expertise privée doit être rejetée.</w:t>
      </w:r>
    </w:p>
    <w:p>
      <w:r>
        <w:rPr>
          <w:b/>
        </w:rPr>
        <w:t>E. 7</w:t>
      </w:r>
    </w:p>
    <w:p>
      <w:r>
        <w:t>Vu l'issue du litige, les frais judiciaires seront mis à charge de l'intimé ( art. 66 al. 1 LTF ). Le recourant, qui obtient gain de cause, a droit à des dépens ( art. 68 al. 1 LTF ; cf. ATF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