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8C_93/2010 vom 4. Oktober 2010</w:t>
      </w:r>
    </w:p>
    <w:p>
      <w:r>
        <w:t>Bundesgericht, 2010-10-04, FR</w:t>
      </w:r>
    </w:p>
    <w:p>
      <w:r>
        <w:rPr>
          <w:b/>
        </w:rPr>
        <w:t xml:space="preserve">Quelle: </w:t>
      </w:r>
      <w:r>
        <w:t>https://mcp.opencaselaw.ch/entscheid/bger_8C_93_2010</w:t>
      </w:r>
    </w:p>
    <w:p>
      <w:r>
        <w:t>FR: TF 8C_93/2010 du 4 octobre 2010</w:t>
      </w:r>
    </w:p>
    <w:p>
      <w:r>
        <w:t>IT: TF 8C_93/2010 del 4 ottobre 2010</w:t>
      </w:r>
    </w:p>
    <w:p>
      <w:pPr>
        <w:pStyle w:val="Heading2"/>
      </w:pPr>
      <w:r>
        <w:t>Erwägungen</w:t>
      </w:r>
    </w:p>
    <w:p>
      <w:r>
        <w:rPr>
          <w:b/>
        </w:rPr>
        <w:t>E. 1</w:t>
      </w:r>
    </w:p>
    <w:p>
      <w:r>
        <w:t>Aux termes de l' art. 42 LTF , les mémoires de recours doivent être rédigés dans une langue officielle, indiquer les conclusions, les motifs et les moyens de preuve, et être signés (al. 1). Les motifs doivent exposer succinctement en quoi l'acte attaqué viole le droit (al. 2, 1ère phrase).</w:t>
      </w:r>
    </w:p>
    <w:p>
      <w:r>
        <w:rPr>
          <w:b/>
        </w:rPr>
        <w:t>E. 2.1</w:t>
      </w:r>
    </w:p>
    <w:p>
      <w:r>
        <w:t>Les premiers juges ont interprété l'art. 7 al.1 let. a à d OAFam en ce sens que pour les enfants ayant leur domicile à l'étranger, les allocations familiales devaient être versées lorsqu'une convention internationale le prévoyait ou lorsque les conditions prévues aux let. a à d étaient remplies. Ils se sont écartés d'une interprétation littérale de cette disposition, au motif notamment qu'une telle interprétation serait incompatible avec l' art. 4 al. 3 LAFam . Les premiers juges ont ensuite constaté qu'aucune convention internationale entre la Suisse et la Turquie n'imposait aux autorités le versement d'allocations familiales pour les enfants domiciliés à l'étranger. Ils ont renvoyé la cause à la Caisse pour qu'elle vérifie si les conditions posées aux lettres a à d de l' art. 7 al. 1 OAFam étaient remplies et, le cas échéant, qu'elle alloue les prestations litigieuses.</w:t>
      </w:r>
    </w:p>
    <w:p>
      <w:r>
        <w:rPr>
          <w:b/>
        </w:rPr>
        <w:t>E. 2.2</w:t>
      </w:r>
    </w:p>
    <w:p>
      <w:r>
        <w:t>La recourante consacre l'essentiel de son mémoire à un rappel des faits et de la procédure, à la citation des art. 4 al. 3 LAFam et 7 OAFam, ainsi que de passages de la Convention de sécurité sociale entre la Suisse et la République de Turquie, du 1er mai 1969 (RS 0.831.109.763.1). Elle en déduit qu'il n'existe pas, en l'occurrence, de convention internationale dont pourrait se prévaloir l'intimé pour obtenir les prestations litigieuses. Les premiers juges sont parvenus à la même conclusion, de sorte que sur ce point, le mémoire de recours ne fait qu'appuyer le jugement entrepris.</w:t>
      </w:r>
    </w:p>
    <w:p>
      <w:r>
        <w:t>Pour le surplus, la recourante se limite à souligner qu'elle est convaincue de la conformité de l' art. 7 al. 1 OAFam à l' art. 4 LAFam , « les arguments développés dans l'arrêt rendu le 19 novembre 2009 par le Tribunal cantonal genevois des assurances sociales ainsi que dans le recours, spécialement les considérations d'ordre politique, telles que les débats au sein de la Commission de la sécurité sociale du Conseil national, puis devant les Chambres fédérales [...] ne sont pas décisifs. » Il s'agit en réalité d'une simple affirmation et non d'une véritable motivation au sens de l' art. 42 al. 1 et 2 LTF , la recourante n'exposant en quoi les premiers juges auraient interprété de manière erronée l' art. 4 al. 3 LAFam en se fondant sur les travaux préparatoires de la loi ou auraient négligé d'autres critères d'interprétation de la loi.</w:t>
      </w:r>
    </w:p>
    <w:p>
      <w:r>
        <w:rPr>
          <w:b/>
        </w:rPr>
        <w:t>E. 3</w:t>
      </w:r>
    </w:p>
    <w:p>
      <w:r>
        <w:t>A défaut de motivation répondant aux exigences de l' art. 42 LTF , le recours n'est pas recevable. La recourante supportera les frais de justice ( art. 66 al. 1 LTF ) et versera une indemnité de dépens à l'intimé ( art. 68 al. 1 LTF ). Il sera tenu compte, pour fixer le montant des dépens, du fait que l'intimé a pu produire une même réponse aux recours interjetés par la Caisse dans la présente cause, d'une part, et par l'Office fédéral des assurances sociales dans la cause 8C_89/2010,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