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8C_939/2010 vom 15. Dezember 2010</w:t>
      </w:r>
    </w:p>
    <w:p>
      <w:r>
        <w:t>Bundesgericht, 2010-12-15, DE</w:t>
      </w:r>
    </w:p>
    <w:p>
      <w:r>
        <w:rPr>
          <w:b/>
        </w:rPr>
        <w:t xml:space="preserve">Quelle: </w:t>
      </w:r>
      <w:r>
        <w:t>https://mcp.opencaselaw.ch/entscheid/bger_8C_939_2010</w:t>
      </w:r>
    </w:p>
    <w:p>
      <w:r>
        <w:t>FR: TF 8C_939/2010 du 15 décembre 2010</w:t>
      </w:r>
    </w:p>
    <w:p>
      <w:r>
        <w:t>IT: TF 8C_939/2010 del 15 dicembre 2010</w:t>
      </w:r>
    </w:p>
    <w:p>
      <w:pPr>
        <w:pStyle w:val="Heading2"/>
      </w:pPr>
      <w:r>
        <w:t>Volltext</w:t>
      </w:r>
    </w:p>
    <w:p>
      <w:r>
        <w:t>Bundesgericht</w:t>
      </w:r>
    </w:p>
    <w:p>
      <w:r>
        <w:t>Tribunal fédéral</w:t>
      </w:r>
    </w:p>
    <w:p>
      <w:r>
        <w:t>Tribunale federale</w:t>
      </w:r>
    </w:p>
    <w:p>
      <w:r>
        <w:t>Tribunal federal</w:t>
      </w:r>
    </w:p>
    <w:p>
      <w:r>
        <w:t>8C_939/2010 {T 0/2}</w:t>
      </w:r>
    </w:p>
    <w:p>
      <w:r>
        <w:t>Urteil vom 15. Dezember 2010</w:t>
      </w:r>
    </w:p>
    <w:p>
      <w:r>
        <w:t>I. sozialrechtliche Abteilung</w:t>
      </w:r>
    </w:p>
    <w:p>
      <w:r>
        <w:t>Besetzung</w:t>
      </w:r>
    </w:p>
    <w:p>
      <w:r>
        <w:t>Bundesrichter Ursprung, Präsident,</w:t>
      </w:r>
    </w:p>
    <w:p>
      <w:r>
        <w:t>Gerichtsschreiber Grünvogel.</w:t>
      </w:r>
    </w:p>
    <w:p>
      <w:r>
        <w:t>Verfahrensbeteiligte</w:t>
      </w:r>
    </w:p>
    <w:p>
      <w:r>
        <w:t>K.________, vertreten durch Rechtsanwalt Bernhard Zollinger, 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22. September 2010.</w:t>
      </w:r>
    </w:p>
    <w:p>
      <w:r>
        <w:t>Nach Einsicht</w:t>
      </w:r>
    </w:p>
    <w:p>
      <w:r>
        <w:t>in die Beschwerde vom 12. November 2010 (Poststempel) gegen den Entscheid des Sozialversicherungsgerichts des Kantons Zürich vom 22. September 2010,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Feststellung des Sachverhalts abgesehen von hier nicht interessierenden Ausnahmen ( Art. 105 Abs. 2 BGG ) nur gerügt werden kann, wenn sie offensichtlich unrichtig ist oder auf einer Rechtsverletzung im Sinne von Art. 95 BGG beruht und wenn die Behebung des Mangels für den Ausgang des Verfahrens entscheidend sein kann ( Art. 97 Abs. 1 BGG ),</w:t>
      </w:r>
    </w:p>
    <w:p>
      <w:r>
        <w:t>dass es bei der Geltendmachung offensichtlich unrichtiger Sachverhaltsfeststellung durch die Vorinstanz nicht ausreicht, die Lage aus Sicht der Beschwerde führenden Person darzustellen und den davon abweichenden angefochtenen Entscheid als willkürlich zu bezeichnen,</w:t>
      </w:r>
    </w:p>
    <w:p>
      <w:r>
        <w:t>dass vielmehr im Einzelnen darzulegen ist, inwiefern das kantonale Gericht den rechtserheblichen Sachverhalt offensichtlich unrichtig oder willkürlich dargelegt haben soll,</w:t>
      </w:r>
    </w:p>
    <w:p>
      <w:r>
        <w:t>dass die Beschwerdeführerin letztinstanzlich einzig die vorinstanzlichen Tatsachenfeststellungen zur Restarbeitsfähigkeit bestreitet,</w:t>
      </w:r>
    </w:p>
    <w:p>
      <w:r>
        <w:t>dass sie dabei diese zwar als in willkürlicher Beweiswürdigung zustande gekommen rügt, zur Begründung indessen einzig in pauschal gehaltener Form anführt, die umfassende Aktenlage sei nicht genügend berücksichtigt worden,</w:t>
      </w:r>
    </w:p>
    <w:p>
      <w:r>
        <w:t>dass dergestalt die Beschwerde den inhaltlichen Mindestanforde-rungen offensichtlich nicht genügt,</w:t>
      </w:r>
    </w:p>
    <w:p>
      <w:r>
        <w:t>dass deshalb im vereinfachten Verfahren nach Art. 108 Abs. 1 lit. b BGG auf die Beschwerde nicht einzutreten ist und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Sozialversicherungen schriftlich mitgeteilt.</w:t>
      </w:r>
    </w:p>
    <w:p>
      <w:r>
        <w:t>Luzern, 15. Dezember 2010</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