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8C_938/2009 vom 23. September 2010</w:t>
      </w:r>
    </w:p>
    <w:p>
      <w:r>
        <w:t>Bundesgericht, 2010-09-23, FR</w:t>
      </w:r>
    </w:p>
    <w:p>
      <w:r>
        <w:rPr>
          <w:b/>
        </w:rPr>
        <w:t xml:space="preserve">Quelle: </w:t>
      </w:r>
      <w:r>
        <w:t>https://mcp.opencaselaw.ch/entscheid/bger_8C_938_2009</w:t>
      </w:r>
    </w:p>
    <w:p>
      <w:r>
        <w:t>FR: TF 8C_938/2009 du 23 septembre 2010</w:t>
      </w:r>
    </w:p>
    <w:p>
      <w:r>
        <w:t>IT: TF 8C_938/2009 del 23 settembre 2010</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Le jugement entrepris expose les dispositions légales et la jurisprudence relatives à la notion d'invalidité ( art. 8 LPGA ) ainsi qu'à à la manière d'évaluer le taux d'invalidité ( art. 16 LPGA ), de sorte qu'il convient d'y renvoyer.</w:t>
      </w:r>
    </w:p>
    <w:p>
      <w:r>
        <w:rPr>
          <w:b/>
        </w:rPr>
        <w:t>E. 3.1</w:t>
      </w:r>
    </w:p>
    <w:p>
      <w:r>
        <w:t>Le recourant soulève le grief de violation du droit d'être entendu ( art. 29 Cst. ) et du droit à un procès équitable ( art. 6 CEDH ), au motif que les premiers juges n'ont pas pris formellement position sur une requête en complément de preuve qu'il avait déposée (demande d'expertise pluridisciplinaire). Le grief est toutefois mal fondé, puisque les premiers juges ont expressément indiqué, en se référant au jugement rendu le 19 janvier 2009 dans le litige opposant le recourant à l'Office AI, qu'une nouvelle expertise n'était pas nécessaire en raison des pièces médicales probantes figurant au dossier. Le seul fait que le rejet de la requête d'instruction complémentaire ne figure pas expressément dans le dispositif du jugement entrepris ne permet pas de conclure à un déni de justice sur ce point.</w:t>
      </w:r>
    </w:p>
    <w:p>
      <w:r>
        <w:rPr>
          <w:b/>
        </w:rPr>
        <w:t>E. 3.2</w:t>
      </w:r>
    </w:p>
    <w:p>
      <w:r>
        <w:t>Le recourant semble également se plaindre, en soulevant le grief de violation du droit d'être entendu en rapport avec le refus d'administrer une expertise pluridisciplinaire, d'une mauvaise appréciation anticipée des preuves figurant au dossier. A cet égard, son argumentation se confond avec les critiques relatives aux constatations de fait des premiers juges. Elle sera donc traitée avec le fond du litige.</w:t>
      </w:r>
    </w:p>
    <w:p>
      <w:r>
        <w:rPr>
          <w:b/>
        </w:rPr>
        <w:t>E. 4.1</w:t>
      </w:r>
    </w:p>
    <w:p>
      <w:r>
        <w:t>Le recourant reproche à la juridiction cantonale d'avoir tenu pour établie, en se fondant notamment sur les constatations du docteur N.________, une pleine capacité de travail dans une activité ne nécessitant pas le port de lourdes charges, ni de rester longtemps debout ou de se déplacer fréquemment. Il soutient que le docteur V.________ avait attesté une capacité de travail « à moyen terme à plein temps, soit 8 heures par jour, avec des positions assise/debout alternées, pas de port de charge de plus de dix kilos, pas de travaux lourds, pas de marches répétitives et pas d'exposition à des intempéries ou à des sols humides ». Toujours selon le docteur V.________, le pronostic à long terme était réservé.</w:t>
      </w:r>
    </w:p>
    <w:p>
      <w:r>
        <w:rPr>
          <w:b/>
        </w:rPr>
        <w:t>E. 4.2</w:t>
      </w:r>
    </w:p>
    <w:p>
      <w:r>
        <w:t>Les premiers juges n'ont pas considéré, à juste titre, que les constatations du docteur V.________ auxquelles se réfère le recourant, d'une part, et celles du docteur N.________, d'autre part, s'opposaient. Pour l'essentiel, les limitations constatées par l'un et l'autre médecin sont identiques. Le fait que le docteur V.________ recommande une alternance des positions et d'éviter l'exposition à des intempéries ou à des sols humides implique, certes, que le recourant doit pouvoir se lever de temps à autre et qu'il devra travailler à l'intérieur plutôt qu'à l'extérieur, ce que les premiers juges n'ont pas expressément constaté. Mais quoi qu'il en soit, même si on les tient pour établies, ces limitations supplémentaires ne revêtent pas le caractère déterminant que leur prête le recourant, comme on le verra ci-après (consid. 5.2). Par ailleurs, contrairement à ce que soutient ce dernier, rien ne permet de considérer que le docteur V.________ aurait omis de se prononcer sur une éventuelle diminution de rendement dans les activités décrites comme adaptées. L'attestation d'une capacité de travail à plein temps dans ces activités, sans indication d'une diminution de rendement, justifie plutôt de constater une pleine capacité de travail. Enfin, que le docteur V.________ n'ait attesté une capacité de travail résiduelle qu'à moyen terme, en réservant son pronostic à long terme, ne justifie pas de prendre d'emblée en considération, pour fixer le taux d'invalidité actuel du recourant, une hypothétique diminution de la capacité de travail dans le futur. Le cas échéant, une procédure de révision du droit à la rente permettra de prendre en considération l'évolution de l'état de santé du recourant. De ce point de vue également, le recours est mal fondé.</w:t>
      </w:r>
    </w:p>
    <w:p>
      <w:r>
        <w:rPr>
          <w:b/>
        </w:rPr>
        <w:t>E. 5.1</w:t>
      </w:r>
    </w:p>
    <w:p>
      <w:r>
        <w:t>Compte tenu de la capacité résiduelle de travail qu'ils ont constatée, les premiers juges ont considéré que le recourant pouvait encore réaliser un revenu de 53'277 fr. 55 en 2007. A cet égard, il se sont référés aux données de l'Enquête suisse sur la structure des salaires 2006 (ESS 2006), publiée par l'Office fédéral de la statistique. Le recourant conteste disposer d'une telle capacité résiduelle de gain.</w:t>
      </w:r>
    </w:p>
    <w:p>
      <w:r>
        <w:rPr>
          <w:b/>
        </w:rPr>
        <w:t>E. 5.2</w:t>
      </w:r>
    </w:p>
    <w:p>
      <w:r>
        <w:t>Lorsque l'assuré n'a pas repris d'activité lucrative, alors que cela serait raisonnablement exigible, la jurisprudence admet d'établir le revenu qu'il pourrait réaliser en se référant aux données statistiques de l'Enquête suisse sur la structure des salaires ( ATF 126 V 75 consid. 3b/bb p. 76). Il résulte de ces données que le salaire mensuel brut médian des hommes exerçant une activité simple et répétitive dans le secteur privé (niveau de qualification 4) était de 4'732 fr. en 2006 (ESS 2006, table TA1, p. 25). Contrairement à ce que soutient le recourant, qui ne motive pas son recours sur ce point, il n'y a pas de raison de se fonder sur la moyenne des revenus dans les branches professionnelles sous chiffres 90 à 93 exclusivement («autres services collectifs et personnels»).</w:t>
      </w:r>
    </w:p>
    <w:p>
      <w:r>
        <w:t>Après adaptation du montant de 4'732 fr. à l'évolution de l'indice des salaires nominaux entre 2006 et 2007 (+ 1,6 %; La Vie économique 12/2008, table B 10.2, p. 95), le revenu mensuel à prendre en considération pour 2007 est de 4'807 fr. 71. Il convient encore de majorer ce montant en raison du fait que les salaires bruts standardisés sont calculés sur la base d'un horaire de travail de 40 heures par semaine, soit une durée hebdomadaire inférieure à la moyenne dans les entreprises en 2007 (41.7 heures; La Vie économique 12/2008, tableau B 9.2 p. 94). L'adaptation nécessaire conduit à un revenu mensuel de 5'012 fr. 04. Il faut, enfin, procéder à une déduction en raison des facteurs propres à la personne de l'assuré et qui limitent ses perspectives salariales, tels que le handicap, l'âge, les années de service, la nationalité, le type d'autorisation de séjour ou le taux d'occupation (cf. ATF 126 V 75 consid. 5 p. 78). La capacité résiduelle de gain de 53'277 fr. 55 par an, ou 4'439 fr. 80 par mois, retenue par la juridiction cantonale, correspond à une déduction légèrement supérieure à 10 % et prend suffisamment en considération l'ensemble des circonstances personnelles, y compris les limitations constatées par le docteur V.________. Le recourant demande qu'une déduction plus importante soit effectuée en raison, plus particulièrement, de l'absence de formation professionnelle complète, mais ce point de vue n'est pas fondé, dès lors que l'on se réfère à un revenu dans des activités simples et répétitives ne requérant aucune formation.</w:t>
      </w:r>
    </w:p>
    <w:p>
      <w:r>
        <w:rPr>
          <w:b/>
        </w:rPr>
        <w:t>E. 6.1</w:t>
      </w:r>
    </w:p>
    <w:p>
      <w:r>
        <w:t>La juridiction cantonale a considéré que le recourant aurait réalisé un revenu de 53'692 fr. 90, dans la profession de coiffeur, s'il n'avait pas subi d'atteinte à sa santé. Elle s'est référée, sur ce point, au revenu hypothétique fixé par l'Office AI en se fondant sur le salaire médian des hommes disposant de connaissances professionnelles spécialisées dans le domaine des services personnels pour l'année 2006 (ESS 2006, table TA1, p. 25 : 4292 fr. par mois pour le niveau de qualification 3). Le recourant demande que l'on prenne pour référence le salaire médian pour le niveau de qualification 1, plutôt que le niveau 3, ou alors que l'on se fonde sur le salaire médian pour le niveau de qualification 3 dans «la branche économique no 1». Il soutient qu'en l'absence d'atteinte à la santé, il aurait certainement ouvert son propre salon de coiffure. A défaut, il aurait très vraisemblablement changé de secteur et travaillé dans une branche professionnelle mieux rémunérée.</w:t>
      </w:r>
    </w:p>
    <w:p>
      <w:r>
        <w:rPr>
          <w:b/>
        </w:rPr>
        <w:t>E. 6.2</w:t>
      </w:r>
    </w:p>
    <w:p>
      <w:r>
        <w:t>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 U 87/05 du 13 septembre 2005, in RAMA 2006 no U 568 p. 67 consid. 2). En l'occurrence, les premiers juges se sont référés au salaire médian, selon l'ESS 2006, des hommes disposant de connaissances spécialisées dans le secteur des services personnels, en raison de l'apprentissage de coiffeur que le recourant s'apprêtait à commencer avant l'accident. Il n'y a en revanche pas d'indice concret au dossier qui permettrait d'admettre que le recourant se serait mis à son compte rapidement après la fin de son apprentissage ou qu'il aurait changé de profession pour exercer une activité requérant des connaissances spécialisées dans une autre branche professionnelle, alors qu'il n'y disposait d'aucune formation particulière.</w:t>
      </w:r>
    </w:p>
    <w:p>
      <w:r>
        <w:rPr>
          <w:b/>
        </w:rPr>
        <w:t>E. 6.3</w:t>
      </w:r>
    </w:p>
    <w:p>
      <w:r>
        <w:t>Le recourant se réfère encore à l'arrêt I 931/06 du 3 octobre 2007, d'après lequel il convient de tenir compte, dans certaines circonstances, du fait qu'un assuré réalisait, avant la survenance de l'atteinte à la santé, un revenu nettement inférieur aux salaires habituels de la branche pour des raisons étrangères à l'invalidité. Il convient dans ce cas de procéder à une adaptation du revenu d'invalide établi sur la base de données salariales statistiques, d'une part, ou du revenu hypothétique sans invalidité fondé sur les renseignements concrets obtenus auprès de l'ancien employeur de l'assuré, d'autre part. Il faut en effet que les facteurs étrangers à l'invalidité qui réduisent les perspectives de gain de l'intéressé soient pris en considération de la même manière, ou soient exclus du calcul, pour établir chacun des deux termes de la comparaison des revenus (cf. également ATF 135 V 297 consid. 5 sv. p. 299 ss; 134 V 322 consid. 4 sv. p. 325, qui apportent des précisions sur la manière de procéder dans une telle situation).</w:t>
      </w:r>
    </w:p>
    <w:p>
      <w:r>
        <w:t>En l'espèce, les premiers juges n'ont pas établi le revenu hypothétique sans invalidité sur la base de renseignements salariaux obtenus auprès de l'employeur de l'assuré, mais en se référant directement au salaire médian des hommes disposant de connaissances spécialisées dans la branche des services personnels, selon l'ESS 2006. Les deux termes de la comparaison de revenus ont donc été établis sur une base statistique et il n'y a aucun motif de procéder à une adaptation supplémentaire du revenu d'invalide ou du revenu hypothétique sans invalidité dans le sens demandé par le recourant.</w:t>
      </w:r>
    </w:p>
    <w:p>
      <w:r>
        <w:rPr>
          <w:b/>
        </w:rPr>
        <w:t>E. 6.4</w:t>
      </w:r>
    </w:p>
    <w:p>
      <w:r>
        <w:t>Compte tenu de ce qui précède, le taux d'invalidité présenté par le recourant a été évalué correctement par les premiers juges. Il n'atteint pas le seuil de 10 % à partir duquel le droit à une rente de l'assurance-accident est ouvert, de sorte que les conclusions du recourant sont mal fondées.</w:t>
      </w:r>
    </w:p>
    <w:p>
      <w:r>
        <w:rPr>
          <w:b/>
        </w:rPr>
        <w:t>E. 7</w:t>
      </w:r>
    </w:p>
    <w:p>
      <w:r>
        <w:t>Les frais de justice sont à la charge du recourant, qui ne peut prétendre de dépens (art. 66 al. 1 et 68 al. 1 LTF). Il convient toutefois d'accepter sa demande d'assistance judiciaire, dès lors qu'il a établi son indigence, que le recours n'était pas d'emblée dénué de chances de succès et que l'assistance d'un avocat était indiquée (cf. art. 64 al. 1 et 2 LTF ). Le recourant est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