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8C_936/2012 vom 27. März 2013</w:t>
      </w:r>
    </w:p>
    <w:p>
      <w:r>
        <w:t>Bundesgericht, 2013-03-27, DE</w:t>
      </w:r>
    </w:p>
    <w:p>
      <w:r>
        <w:rPr>
          <w:b/>
        </w:rPr>
        <w:t xml:space="preserve">Quelle: </w:t>
      </w:r>
      <w:r>
        <w:t>https://mcp.opencaselaw.ch/entscheid/bger_8C_936_2012</w:t>
      </w:r>
    </w:p>
    <w:p>
      <w:r>
        <w:t>FR: TF 8C_936/2012 du 27 mars 2013</w:t>
      </w:r>
    </w:p>
    <w:p>
      <w:r>
        <w:t>IT: TF 8C_936/2012 del 27 marzo 2013</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einzig, ob der Beschwerdeführer ab 1. August 2006 Anspruch auf eine Invalidenrente der Unfallversicherung hat.</w:t>
      </w:r>
    </w:p>
    <w:p>
      <w:r>
        <w:t>Das kantonale Gericht hat in umfassender Würdigung der medizinischen Akten, insbesondere aber gestützt auf das unbestrittene Gutachten der Klinik X.________ vom 23. November 2010 festgestellt, dass dem Versicherten in seiner angestammten Tätigkeit ein ganztägiger Einsatz grundsätzlich zumutbar ist. Zwar trifft es zu, dass die Gutachter auch eine 80%ige Einschätzung der Arbeitsfähigkeit als vertretbar bezeichneten, jedoch gingen sie schlüssig von einer 100%igen Arbeitsfähigkeit aus, nicht zuletzt deswegen, weil der Beschwerdeführer in diesem Umfang tätig ist. Dabei gehen sie sodann nicht von einer unzumutbaren Leistung aus, sondern qualifizieren sie lediglich an der oberen Grenze des Zumutbaren. Daran vermögen die Einwendungen zu Art. 16 ATSG sowie die Ausführungen zu einem Prozentvergleich nichts zu ändern, denn bei einer 100%igen Arbeitsfähigkeit in der angestammten Tätigkeit ist der Invaliditätsgrad, auch bei einem Prozentvergleich, 0 % (vgl. auch Urteil 8C_88/2012 vom 5. Juni 2012 E. 4.2). Dieses Resultat erscheint auch mit Blick auf die Auszüge aus dem Individuellen Konto der Ausgleichskassen gerechtfertigt. Soweit der Beschwerdeführer geltend macht, es sei nicht sichergestellt, dass er seine Tätigkeit auf Dauer im bisherigen Rahmen wird weiterführen können, ist darauf hinzuweisen, dass es ihm auch bei gleichbleibenden Leiden jederzeit freistehen wird, eine unfallkausale Verminderung der Erwerbsfähigkeit geltend zu machen und erneut Leistungen der Unfallversicherung zu beanspruchen (vgl. dazu RKUV 1994 Nr. U 189 S. 138, U 119/92 E. 3a). Vorinstanz und Verwaltung haben demnach zu Recht einen Rentenanspruch verneint; die Beschwerde des Versicherten ist abzuweisen.</w:t>
      </w:r>
    </w:p>
    <w:p>
      <w:r>
        <w:rPr>
          <w:b/>
        </w:rPr>
        <w:t>E. 3</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