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8C_935/2010 vom 28. Februar 2011</w:t>
      </w:r>
    </w:p>
    <w:p>
      <w:r>
        <w:t>Bundesgericht, 2011-02-28, FR</w:t>
      </w:r>
    </w:p>
    <w:p>
      <w:r>
        <w:rPr>
          <w:b/>
        </w:rPr>
        <w:t xml:space="preserve">Quelle: </w:t>
      </w:r>
      <w:r>
        <w:t>https://mcp.opencaselaw.ch/entscheid/bger_8C_935_2010</w:t>
      </w:r>
    </w:p>
    <w:p>
      <w:r>
        <w:t>FR: TF 8C_935/2010 du 28 février 2011</w:t>
      </w:r>
    </w:p>
    <w:p>
      <w:r>
        <w:t>IT: TF 8C_935/2010 del 28 febbraio 2011</w:t>
      </w:r>
    </w:p>
    <w:p>
      <w:pPr>
        <w:pStyle w:val="Heading2"/>
      </w:pPr>
      <w:r>
        <w:t>Erwägungen</w:t>
      </w:r>
    </w:p>
    <w:p>
      <w:r>
        <w:rPr>
          <w:b/>
        </w:rPr>
        <w:t>E. 1.1</w:t>
      </w:r>
    </w:p>
    <w:p>
      <w:r>
        <w:t>Le Tribunal fédéral examine d'office sa compétence ( art. 29 al. 1 LTF ) et contrôle librement la recevabilité des recours qui lui sont soumis ( ATF 135 III 1 consid. 1.1 p. 3 et la jurisprudence citée).</w:t>
      </w:r>
    </w:p>
    <w:p>
      <w:r>
        <w:rPr>
          <w:b/>
        </w:rPr>
        <w:t>E. 1.2</w:t>
      </w:r>
    </w:p>
    <w:p>
      <w:r>
        <w:t>En l'espèce, la commune de X.________ a un intérêt digne de protection à demander la modification ou l'annulation de la décision attaquée mettant à sa charge, plutôt qu'à celle du canton, les frais d'entretien, au titre de l'aide sociale, de la famille C.________. La qualité pour recourir doit par conséquent lui être reconnue au regard de l' art. 89 al. 1 LTF (cf. ATF 136 V 346 consid. 3.5 p. 350).</w:t>
      </w:r>
    </w:p>
    <w:p>
      <w:r>
        <w:rPr>
          <w:b/>
        </w:rPr>
        <w:t>E. 2</w:t>
      </w:r>
    </w:p>
    <w:p>
      <w:r>
        <w:t>Sur le fond, le litige porte sur la question de savoir qui, du canton du Valais ou de la commune de X.________, doit prendre en charge l'entretien de la famille C.________.</w:t>
      </w:r>
    </w:p>
    <w:p>
      <w:r>
        <w:rPr>
          <w:b/>
        </w:rPr>
        <w:t>E. 2.1</w:t>
      </w:r>
    </w:p>
    <w:p>
      <w:r>
        <w:t>Selon l'art. 4 al. 1 de la loi valaisanne du 29 mars 1996 sur l'intégration et l'aide sociale (LIAS; RS/VS 850.1), l'aide sociale incombe à la commune de domicile ou de séjour. L'art. 1 de l'arrêté du 5 mars 2008 concernant la prise en charge des personnes relevant du domaine de l'asile dans le canton du Valais (APCA; RS/VS 850.110) prévoit, quant à lui, que le Service de l'action sociale, par son office de coordination des prestations sociales, est compétent pour la prise en charge financière et sociale de catégories de personnes suivantes relevant de la loi sur l'asile (Lasi) et de la loi sur les étrangers (Letr):</w:t>
      </w:r>
    </w:p>
    <w:p>
      <w:r>
        <w:t>a) requérants d'asile en procédure d'asile (RA);</w:t>
      </w:r>
    </w:p>
    <w:p>
      <w:r>
        <w:t>b) personnes au bénéfice d'une admission provisoire dont le séjour en Suisse est inférieur à sept ans (AP);</w:t>
      </w:r>
    </w:p>
    <w:p>
      <w:r>
        <w:t>c) personnes au bénéfice d'une admission provisoire dont le séjour en Suisse est supérieur à sept ans (AP+7);</w:t>
      </w:r>
    </w:p>
    <w:p>
      <w:r>
        <w:t>d) requérants d'asile faisant l'objet d'une décision négative en matière d'asile et de renvoi de Suisse entrée en force dont la demande d'asile a été rejetée (RAD);</w:t>
      </w:r>
    </w:p>
    <w:p>
      <w:r>
        <w:t>e) personnes dont la demande d'asile a fait l'objet d'une décision de non entrée en matière entrée en force (NEM).</w:t>
      </w:r>
    </w:p>
    <w:p>
      <w:r>
        <w:rPr>
          <w:b/>
        </w:rPr>
        <w:t>E. 2.2</w:t>
      </w:r>
    </w:p>
    <w:p>
      <w:r>
        <w:t>Les premiers juges se sont fondés sur une interprétation littérale de l'arrêté, qui n'est pas comme telle contestée par la recourante. Celle-ci soutient toutefois que la ratio legis conduit à une autre interprétation. Elle se réfère à l'interprétation donnée par le Conseil d'Etat et reprise dans ses considérants par le Tribunal cantonal, selon laquelle l'arrêté précise quelles sont les catégories de personnes relevant de l'asile, prises en charge par le canton, soit notamment celles qui sont en situation illégale. Elle estime par ailleurs choquant que la commune doive assumer au titre de l'aide sociale les frais engendrés par le retard dans l'exécution d'une décision de renvoi qui relève uniquement de l'autorité cantonale et sur laquelle elle n'a aucune prise. Une interprétation correcte et objective aurait dû conduire à admettre l'assimilation du retrait du statut de réfugié et de l'asile au rejet d'une demande d'asile.</w:t>
      </w:r>
    </w:p>
    <w:p>
      <w:r>
        <w:rPr>
          <w:b/>
        </w:rPr>
        <w:t>E. 2.3</w:t>
      </w:r>
    </w:p>
    <w:p>
      <w:r>
        <w:t>Ce faisant, la recourante méconnaît qu'il ne suffit pas qu'une solution différente de celle admise par l'autorité cantonale puisse être tenue pour pareillement concevable ou apparaisse même préférable pour établir l'arbitraire (cf. ATF 134 I 140 consid. 5.4 p. 148 et les références citées). De fait, une interprétation conforme à la teneur littérale de la disposition concernée ne peut qu'exceptionnellement s'avérer arbitraire, si elle en dénature le but ou la portée et si elle conduit à des résultats que le législateur ne peut avoir voulus et qui heurtent le sentiment de justice ou le principe de l'égalité de traitement ( ATF 109 Ia 19 consid. 5d p. 27; arrêt 6P.60/2000 du 17 août 2000 consid. 5a). En l'espèce, la seule référence aux déclarations du Conseil d'Etat ne suffit pas, sous l'angle restreint de l'arbitraire, pour s'écarter de l'interprétation défendue par le Tribunal cantonal. En particulier, toutes les personnes en situation illégale ne relèvent pas de l'art. 1er de l'arrêté. Cela ressort de l'art. 2 de l'arrêté selon lequel le Département de la santé, des affaires sociales et de l'énergie «détermine les normes applicables à toutes les catégories de personnes citées à l'article 1, et de manière générale, à l'ensemble des personnes en séjour illégal dans le canton». On peut en déduire a contrario que toutes les personnes séjournant illégalement sur le territoire cantonal ne relèvent pas du canton en ce qui concerne l'aide sociale. L'illégalité du séjour ne paraît donc pas être en soi un critère décisif. Pour le reste, il n'est pas insoutenable de refuser d'assimiler aux requérants d'asile déboutés et faisant l'objet d'une décision de renvoi les personnes qui ont obtenu l'asile et dont le statut de réfugié est par la suite révoqué. On peut y voir un souci de maintenir transitoirement - pour des raisons pratiques et d'organisation - une continuité en matière de compétence pour l'octroi de l'aide sociale s'agissant de personnes qui bénéficiaient déjà de cette aide (par les communes) avant une décision de révocation.</w:t>
      </w:r>
    </w:p>
    <w:p>
      <w:r>
        <w:t>Enfin, l'autorité cantonale a le même intérêt que la commune à ne pas retarder l'exécution du renvoi du moment que la charge d'entretien n'est pas supportée par la seule commune mais répartie selon les modalités prévues par la loi cantonale du 8 avril 2004 sur l'harmonisation du financement des régimes sociaux et d'insertion socio-professionnelle (LHFRS; RS/VS 850.2), laquelle fixe, en son art. 3 al. 1, une prise en charge à raison de 63 % par le canton et de 37 % par les communes.</w:t>
      </w:r>
    </w:p>
    <w:p>
      <w:r>
        <w:rPr>
          <w:b/>
        </w:rPr>
        <w:t>E. 3</w:t>
      </w:r>
    </w:p>
    <w:p>
      <w:r>
        <w:t>Il s'ensuit que le recours, entièrement mal fondé, doit être rejeté. Succombant, la commune de X.________, dont l'intérêt patrimonial est en cause ( art. 66 al. 1 et 4 LTF ), supportera les frais de la présente procédure. Il n'est pas alloué de dépens au Conseil d'Etat du canton du Valais qui obtient gain de cause dans l'exercice de ses attributions officielles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