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934/2011 vom 15. März 2012</w:t>
      </w:r>
    </w:p>
    <w:p>
      <w:r>
        <w:t>Bundesgericht, 2012-03-15, DE</w:t>
      </w:r>
    </w:p>
    <w:p>
      <w:r>
        <w:rPr>
          <w:b/>
        </w:rPr>
        <w:t xml:space="preserve">Quelle: </w:t>
      </w:r>
      <w:r>
        <w:t>https://mcp.opencaselaw.ch/entscheid/bger_8C_934_2011</w:t>
      </w:r>
    </w:p>
    <w:p>
      <w:r>
        <w:t>FR: TF 8C 934/2011 du 15 mars 2012</w:t>
      </w:r>
    </w:p>
    <w:p>
      <w:r>
        <w:t>IT: TF 8C 934/2011 del 15 marzo 2012</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Der Beschwerdeführer rügt vorab eine Verletzung des Anspruchs auf rechtliches Gehör ( Art. 29 Abs. 2 BV ). Zur Begründung führt er aus, das kantonale Gericht habe sich, ohne ihn vorgängig angehört zu haben, mit dem ohne Gesundheitsschaden zumutbarerweise erzielbaren, beschwerdeweise indessen von keiner Seite thematisierten Einkommen (Valideneinkommen) auseinandergesetzt und dieses gestützt auf eine rechtsfehlerhafte Sachverhaltsfeststellung wesentlich tiefer festgesetzt als das der streitigen Verfügung der IV-Stelle zugrunde gelegene Valideneinkommen.</w:t>
      </w:r>
    </w:p>
    <w:p>
      <w:r>
        <w:rPr>
          <w:b/>
        </w:rPr>
        <w:t>E. 3.1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In der Verwaltungsverfügung festgelegte - somit Teil des Anfechtungsgegenstandes bildende -, aber auf Grund der Beschwerdebegehren nicht mehr streitige Fragen gehören, sofern sie das gleiche, verfügungsweise geregelte Rechtsverhältnis betreffen, zum Streitgegenstand. Indessen prüft das Gericht die nicht beanstandeten Punkte nur, wenn dazu auf Grund der Parteivorbringen oder anderer sich aus den Akten ergebenden Anhaltspunkte hinreichender Anlass besteht ( BGE 125 V 413 E. 1b und 2 S. 414 ff. mit Hinweisen, insbesondere auf BGE 110 V 48 E. 4a S. 53). Zieht das Gericht an sich nicht bestrittene Aspekte des streitigen Rechtsverhältnisses in die Prüfung mit ein, hat es bei seinem Entscheid je nachdem die Verfahrensrechte der am Prozess Beteiligten, insbesondere das Anhörungsrecht der von einer möglichen Schlechterstellung bedrohten Partei, oder den grundsätzlichen Anspruch auf den doppelten Instanzenzug zu beachten ( BGE 125 V 413 E. 2 S. 417 mit Hinweisen). Das rechtliche Gehör ( Art. 29 Abs. 1 BV ) ist namentlich auch dann zu gewähren, wenn die richterliche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 BGE 128 V 272 E. 5b/bb S. 278 ; 126 I 19 E. 2c/aa S. 22; 125 V 368 E. 4a S. 370).</w:t>
      </w:r>
    </w:p>
    <w:p>
      <w:r>
        <w:rPr>
          <w:b/>
        </w:rPr>
        <w:t>E. 3.2</w:t>
      </w:r>
    </w:p>
    <w:p>
      <w:r>
        <w:t>Das Recht, angehört zu werden, ist formeller Natur. Die Verletzung des rechtlichen Gehörs führt ungeachtet der materiellen Begründetheit des Rechtsmittels zur Gutheissung der Beschwerde und zur Aufhebung des angefochtenen Entscheids ( BGE 135 I 187 E. 2.2 S. 190; 133 III 235 E. 5.3 S. 250; 132 V 387 E. 5.1 S. 390).</w:t>
      </w:r>
    </w:p>
    <w:p>
      <w:r>
        <w:rPr>
          <w:b/>
        </w:rPr>
        <w:t>E. 4.1</w:t>
      </w:r>
    </w:p>
    <w:p>
      <w:r>
        <w:t>Die Darstellung des Beschwerdeführers trifft zu, wonach das für die Bestimmung des Invaliditätsgrades massgebende Valideneinkommen zu keinem Zeitpunkt strittig war. Im Vorgehen der Vorinstanz liegt zwar rechtstechnisch keine Ausdehnung des Streitgegenstandes, zumal sich die Entscheidbegründung auf das streitige Rechtsverhältnis als solches - den Rentenanspruch insgesamt - bezieht (E. 3.1 hievor). Der Beschwerdeführer rügt aber zu Recht, dass das kantonale Gericht ihm vorgängig hätte Gelegenheit zur Stellungnahme einräumen müssen. Denn er musste nicht ohne Weiteres damit rechnen, dass die Vorinstanz ihren Entscheid auf eine Neubeurteilung des Valideneinkommens ausdehnen würde.</w:t>
      </w:r>
    </w:p>
    <w:p>
      <w:r>
        <w:rPr>
          <w:b/>
        </w:rPr>
        <w:t>E. 4.2</w:t>
      </w:r>
    </w:p>
    <w:p>
      <w:r>
        <w:t>Hinzu kommt, dass die IV-Stelle sowohl in der die halbe Rente zusprechenden Verfügung vom 19. Februar 2003 wie auch in den diese bestätigenden Revisionsverfahren (vgl. die Revisionsberichte vom 9. November 2004, 17. September 2007 und 21. Juni 2011) jeweils davon ausging, das Valideneinkommen sei nach dem hypothetischen Einkommen einer Vollzeitbeschäftigung im Betrieb des Bruders des Beschwerdeführers zu ermitteln. Die Vorinstanz nimmt demgegenüber an, ohne den Gesundheitsschaden würde der Beschwerdeführer an einigen Tagen der Woche im Gipsergeschäft seines Bruders arbeiten und an den übrigen Tagen den eigenen Pneuhandel betreiben. Sie begründet jedoch nicht näher, weshalb diese Hypothese wahrscheinlicher sei als die Annahme der IV-Stelle. Zudem ermittelte sie das Einkommen aus unselbstständiger Erwerbstätigkeit - anders als die IV-Stelle, welche auf Angaben des Betriebs vom 5. Februar 2002 abstellte und diese der Nominallohnentwicklung anpasste - aufgrund der Einträge im individuellen Konto (IK) des Beschwerdeführers. Bezüglich des Einkommens aus dem Pneuhandel stellte sie auf die Erfolgsrechnung ab.</w:t>
      </w:r>
    </w:p>
    <w:p>
      <w:r>
        <w:rPr>
          <w:b/>
        </w:rPr>
        <w:t>E. 4.3</w:t>
      </w:r>
    </w:p>
    <w:p>
      <w:r>
        <w:t>Die Vorinstanz hat abweichend von der IV-Stelle über das Valideneinkommen entschieden ohne dem Beschwerdeführer vorgängig Gelegenheit zur Stellungnahme einzuräumen. Die eingeschränkte Kognition des Bundesgerichts in Bezug auf den vorinstanzlich festgestellten Sachverhalt ( Art. 105 BGG ; vgl. auch Art. 97 Abs. 1 BGG ) sowie der grundsätzliche Anspruch auf Einhaltung des Instanzenzuges ( BGE 125 V 413 E. 2c in fine S. 417; Urteil 8C_386/2011 vom 19. September 2011 E. 3.2 mit Hinweisen) sprechen gegen eine Heilung im bundesgerichtlichen Verfahren. Der angefochtene Entscheid ist daher aufzuheben, ohne dass die vom Beschwerdeführer geltend gemachten materiellrechtlichen Einwände zu prüfen wären.</w:t>
      </w:r>
    </w:p>
    <w:p>
      <w:r>
        <w:rPr>
          <w:b/>
        </w:rPr>
        <w:t>E. 5</w:t>
      </w:r>
    </w:p>
    <w:p>
      <w:r>
        <w:t>Das Verfahren ist kostenpflichtig ( Art. 65 BGG ). Dem Ausgang des Verfahrens entsprechend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