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8C_934/2009 vom 24. Februar 2010</w:t>
      </w:r>
    </w:p>
    <w:p>
      <w:r>
        <w:t>Bundesgericht, 2010-02-24, FR</w:t>
      </w:r>
    </w:p>
    <w:p>
      <w:r>
        <w:rPr>
          <w:b/>
        </w:rPr>
        <w:t xml:space="preserve">Quelle: </w:t>
      </w:r>
      <w:r>
        <w:t>https://mcp.opencaselaw.ch/entscheid/bger_8C_934_2009</w:t>
      </w:r>
    </w:p>
    <w:p>
      <w:r>
        <w:t>FR: TF 8C_934/2009 du 24 février 2010</w:t>
      </w:r>
    </w:p>
    <w:p>
      <w:r>
        <w:t>IT: TF 8C_934/2009 del 24 febbraio 2010</w:t>
      </w:r>
    </w:p>
    <w:p>
      <w:pPr>
        <w:pStyle w:val="Heading2"/>
      </w:pPr>
      <w:r>
        <w:t>Erwägungen</w:t>
      </w:r>
    </w:p>
    <w:p>
      <w:r>
        <w:rPr>
          <w:b/>
        </w:rPr>
        <w:t>E. 1.1</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in FF 2001, p. 4133). A cet égard, le Tribunal fédéral n'examinera le moyen fondé sur la violation d'un droit constitutionnel que si le grief a été invoqué et motivé de manière précise ( art. 106 al. 2 LTF ).</w:t>
      </w:r>
    </w:p>
    <w:p>
      <w:r>
        <w:rPr>
          <w:b/>
        </w:rPr>
        <w:t>E. 1.2</w:t>
      </w:r>
    </w:p>
    <w:p>
      <w:r>
        <w:t>Selon l' art. 61 let. i LPGA ,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 En particulier, la question du délai de révision relève du droit cantonal (arrêt I 642/04 du 6 décembre 2005 consid. 1), en l'occurrence l'art. 81 de la loi genevoise sur la procédure administrative du 12 septembre 1985 (LPA GE; RSG E 5 10).</w:t>
      </w:r>
    </w:p>
    <w:p>
      <w:r>
        <w:rPr>
          <w:b/>
        </w:rPr>
        <w:t>E. 1.3</w:t>
      </w:r>
    </w:p>
    <w:p>
      <w:r>
        <w:t>En l'occurrence, la juridiction cantonale a écarté deux moyens de preuve nouveaux versés à l'appui de la demande de révision, au motif qu'ils avaient été invoqués tardivement par l'intéressé (rapports du docteur B.________ des 12 novembre 2008 et 7 janvier 2009). Dans la mesure où il conteste ce point du jugement attaqué, le recourant n'indique toutefois pas en quoi les premiers juges auraient violé un droit constitutionnel en appliquant la réglementation cantonale relative au délai de révision. Il s'ensuit que ce grief doit être écarté d'emblée.</w:t>
      </w:r>
    </w:p>
    <w:p>
      <w:r>
        <w:rPr>
          <w:b/>
        </w:rPr>
        <w:t>E. 2.1</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 ATF 127 V 353 consid. 5b p. 358 et les références).</w:t>
      </w:r>
    </w:p>
    <w:p>
      <w:r>
        <w:rPr>
          <w:b/>
        </w:rPr>
        <w:t>E. 2.2</w:t>
      </w:r>
    </w:p>
    <w:p>
      <w:r>
        <w:t>La juridiction cantonale a constaté, d'une manière qui lie le Tribunal fédéral ( art. 105 al. 1 LTF ), que les rapports des docteurs J.________ (du 24 mars 2009) et D.________ (du 4 avril 2009) concernaient des faits survenus postérieurement au moment déterminant, à savoir la nécessité d'une nouvelle intervention chirurgicale et la mise en oeuvre d'un reclassement professionnel au regard d'investigations radiologiques effectuées le 30 octobre 2008 et d'une consultation le 24 mars 2009. Aussi, a-t-elle considéré que ces moyens de preuve ne justifiaient pas la révision du jugement cantonal du 30 juillet 2008.</w:t>
      </w:r>
    </w:p>
    <w:p>
      <w:r>
        <w:t>Le recourant conteste ce point de vue en faisant valoir que les moyens de preuve en question concernent également la période antérieure au jugement du 30 juillet 2008, en tant qu'ils portent une nouvelle appréciation de sa capacité de travail depuis 1997.</w:t>
      </w:r>
    </w:p>
    <w:p>
      <w:r>
        <w:t>Ce moyen est mal fondé. En effet, les nouveaux rapports médicaux invoqués ne servent pas à l'établissement de faits qui se seraient produits jusqu'au moment où, dans la procédure de recours contre les décisions sur opposition des 1er octobre 2007 et 22 janvier 2008, des allégations de fait étaient encore recevables. Ils donnent seulement une appréciation différente de celle qui a été retenue par le tribunal cantonal dans son jugement du 30 juillet 2008.</w:t>
      </w:r>
    </w:p>
    <w:p>
      <w:r>
        <w:rPr>
          <w:b/>
        </w:rPr>
        <w:t>E. 2.3</w:t>
      </w:r>
    </w:p>
    <w:p>
      <w:r>
        <w:t>Vu ce qui précède, le jugement entrepris n'est pas critiquable et le recours se révèle mal fondé.</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