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932/2014 vom 13. April 2015</w:t>
      </w:r>
    </w:p>
    <w:p>
      <w:r>
        <w:t>Bundesgericht, 2015-04-13, DE</w:t>
      </w:r>
    </w:p>
    <w:p>
      <w:r>
        <w:rPr>
          <w:b/>
        </w:rPr>
        <w:t xml:space="preserve">Quelle: </w:t>
      </w:r>
      <w:r>
        <w:t>https://mcp.opencaselaw.ch/entscheid/bger_8C_932_2014</w:t>
      </w:r>
    </w:p>
    <w:p>
      <w:r>
        <w:t>FR: TF 8C 932/2014 du 13 avril 2015</w:t>
      </w:r>
    </w:p>
    <w:p>
      <w:r>
        <w:t>IT: TF 8C 932/2014 del 13 aprile 2015</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Ingress S. 320 mit Hinweis).</w:t>
      </w:r>
    </w:p>
    <w:p>
      <w:r>
        <w:rPr>
          <w:b/>
        </w:rPr>
        <w:t>E. 2</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 vgl. auch BGE 138 V 271 ).</w:t>
      </w:r>
    </w:p>
    <w:p>
      <w:r>
        <w:rPr>
          <w:b/>
        </w:rPr>
        <w:t>E. 3.1</w:t>
      </w:r>
    </w:p>
    <w:p>
      <w:r>
        <w:t>Das kantonale Gericht hat erwogen, aufgrund der medizinischen Unterlagen sei nicht klar, ob die Arbeitsfähigkeit des Versicherten in einer optimal adaptierten Tätigkeit aus dermatologischer Sicht überhaupt eingeschränkt sei. Eine Beeinträchtigung in einer leidensangepassten Erwerbstätigkeit liege möglicherweise jedoch dann vor, wenn ein Zusammenhang zwischen dem psychischen Gesundheitszustand und dem Handekzem bestehe. Da dies aufgrund der Akten nicht abschliessend beurteilt werden könne, sei die beanstandete Verfügung aufzuheben und die Sache gestützt auf Art. 43 Abs. 1 ATSG zur Klärung der Frage, ob die psychische Verfassung einen Einfluss auf das Handekzem habe, an die IV-Behörde zurückzuweisen. Bezüglich des psychiatrischen Gesundheitszustandes stellte die Vorinstanz erhebliche Widersprüche zwischen den mit dem Versicherten befassten Fachärzten hinsichtlich Diagnosestellung und Einschätzung der Arbeitsfähigkeit fest. Aus der von verschiedenen Medizinern zum Ausdruck gebrachten Unsicherheit bei der Einordnung des Krankheitsbildes schloss sie, dass die Krankheitsentwicklung im Verfügungszeitpunkt noch nicht weit genug fortgeschritten gewesen sei, um eine zuverlässige Diagnose zu erlauben. Sie kam daher zum Schluss, dass die Verwaltung neurologisch-hirnorganische Untersuchungen zu veranlassen und ein psychiatrisches Gutachten in Auftrag zu geben habe, sobald sich der Gesundheitszustand des Versicherten so weit entwickelt habe, dass eine zuverlässige Diagnostizierung möglich sei.</w:t>
      </w:r>
    </w:p>
    <w:p>
      <w:r>
        <w:rPr>
          <w:b/>
        </w:rPr>
        <w:t>E. 3.2</w:t>
      </w:r>
    </w:p>
    <w:p>
      <w:r>
        <w:t>Die beschwerdeführende IV-Stelle macht unter Hinweis auf BGE 137 V 210 E. 4.4.1.4 S. 264 geltend, die Beschwerdeinstanz habe in der Regel ein Gerichtsgutachten einzuholen, wenn sie im Rahmen der Beweiswürdigung zum Schluss komme, ein bereits erhobener medizinischer Sachverhalt müsse - insgesamt oder in wesentlichen Teilen - gutachtlich geklärt werden oder eine Administrativexpertise sei in einem rechtserheblichen Punkt nicht beweiskräftig. Eine Rückweisung der Sache an die IV-Stelle bleibe auch möglich, wenn es darum gehe, zu einer bisher vollständig ungeklärten Frage ein Gutachten einzuholen oder eine Klarstellung, Präzisierung oder Ergänzung von gutachterlichen Ausführungen zu veranlassen. In der vorliegenden Streitsache sei indessen weder ersichtlich noch werde im angefochtenen Entscheid dargetan, dass die Voraussetzungen für eine Rückweisung an die Verwaltung erfüllt seien. Die vorinstanzliche Rückweisung leide daher an einem Rechtsmangel. Die IV-Stelle beruft sich überdies auf BGE 139 V 99 . Bereits im damaligen Verfahren habe sie einen Verstoss derselben Vorinstanz gegen die bundesgerichtliche Rechtsprechung gerügt. Mit dem beanstandeten Entscheid vom 15. Dezember 2014 und dem ebenfalls angefochtenen Entscheid vom 11. Dezember 2014 bringe diese klar zum Ausdruck, dass sie nicht gewillt sei, den verfahrensmässigen Vorgaben gemäss BGE 137 V 210 Folge zu leisten. Auf die Beschwerde sei daher einzutreten.</w:t>
      </w:r>
    </w:p>
    <w:p>
      <w:r>
        <w:rPr>
          <w:b/>
        </w:rPr>
        <w:t>E. 4.1</w:t>
      </w:r>
    </w:p>
    <w:p>
      <w:r>
        <w:t>Der Eintretensgrund von Art. 93 Abs. 1 lit. b BGG fällt hier ohne weiteres ausser Betracht und wird auch nicht geltend gemacht.</w:t>
      </w:r>
    </w:p>
    <w:p>
      <w:r>
        <w:rPr>
          <w:b/>
        </w:rPr>
        <w:t>E. 4.2</w:t>
      </w:r>
    </w:p>
    <w:p>
      <w:r>
        <w:t>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S. 285 mit Hinweisen). Der angefochtene Entscheid schränkt, indem er die Angelegenheit zur ergänzenden medizinischen Abklärung und zu neuer Verfügung an die Beschwerdeführerin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4.3</w:t>
      </w:r>
    </w:p>
    <w:p>
      <w:r>
        <w:t>Holt eine Beschwerdeinstanz zu Unrecht kein Gerichtsgutachten ein und weist die Sache stattdessen an die IV-Stelle zurück, so beeinträchtigt dieses Vorgehen zwar die mit BGE 137 V 210 E. 4 S. 258 verfolgte Zielsetzung. Nach BGE 139 V 99 begründet die nicht gerechtfertigte vorinstanzliche Rückweisung an die Verwaltung dennoch regelmässig keinen nicht wieder gutzumachenden Nachteil ( Art. 93 Abs. 1 lit. a BGG ). Denn eine ausnahmsweise Anfechtbarkeit des Zwischenentscheids unter diesem Titel stünde nur zur Diskussion, wenn ein effektiver Rechtsschutz nicht auf andere Weise gewährleistet werden könnte. Indessen wird das Bundesgericht im Fall eines Weiterzugs des Endentscheids prüfen, ob die Rückweisung an die Verwaltung gerechtfertigt war. Verneint es diese Frage, so kann es die Sache seinerseits an die erste Beschwerdeinstanz zurückweisen, damit diese ein Gerichtsgutachten einhole ( BGE 139 V 99 E. 2.3.1 S. 102). Dies wird geschehen, sobald der Beweiswert des nach einer ungerechtfertigten Rückweisung eingeholten Administrativgutachtens auch nur relativ geringfügig beeinträchtigt erscheint (BGE a.a.O. E. 2.3.2 S. 103).</w:t>
      </w:r>
    </w:p>
    <w:p>
      <w:r>
        <w:rPr>
          <w:b/>
        </w:rPr>
        <w:t>E. 4.4</w:t>
      </w:r>
    </w:p>
    <w:p>
      <w:r>
        <w:t>BGE 139 V 99 E. 2.5 S. 104 befasst sich mit der Frage, was geschieht, wenn eine Vorinstanz die Sache regelmässig zur gutachtlichen Abklärung an die Verwaltung zurückweist, obwohl sie jeweils ein Gerichtsgutachten einholen sollte. Das Bundesgericht behält sich vor, in einem solchen Fall ausnahmsweise auf die Beschwerde gegen einen ungerechtfertigten Rückweisungsentscheid einzutreten.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BGG ) verzichtet wird, damit eine bestimmte Frage von allgemeinem Interesse überhaupt je einmal beurteilt werden kann (Urteil 9C_454/2014 vom 31. Juli 2014 E. 2.3; vgl. BGE 140 III 92 E. 1.1 S. 93 ; 137 I 23 E. 1.3.1 S. 25). Die IV-Stelle nennt über den vorliegend streitigen kantonalen Gerichtsentscheid und den BGE 139 V 99 zugrunde liegenden Fall hinaus einen weiteren Entscheid derselben Vorinstanz vom 11. Dezember 2014, mit welchem diese gegen die durch BGE 137 V 210 E. 4.4.1.4 S. 264 definierte Verpflichtung der Beschwerdeinstanzen, Gerichtsgutachten einzuholen, verstossen haben soll. Entgegen der beschwerdeführerischen Auffassung kann nicht bereits anhand von höchstens drei - nicht näher auf eine Verletzung der genannten Vorgaben der Rechtsprechung hin geprüften - Fällen geschlossen werden, dass das kantonale Gericht systematisch entsprechend vorgeht. Es besteht daher im vorliegenden Fall kein Grund, vom Grundsatz der Nichtanhandnahme direkter Beschwerden gegen ungerechtfertigte Rückweisungsentscheide eine Ausnahme zu machen.</w:t>
      </w:r>
    </w:p>
    <w:p>
      <w:r>
        <w:rPr>
          <w:b/>
        </w:rPr>
        <w:t>E. 4.5</w:t>
      </w:r>
    </w:p>
    <w:p>
      <w:r>
        <w:t>Zusammenfassend sind die Voraussetzungen der Anfechtbarkeit nach Art. 93 Abs. 1 BGG zu verneinen. Die Beschwerde erweist sich daher als unzulässig.</w:t>
      </w:r>
    </w:p>
    <w:p>
      <w:r>
        <w:rPr>
          <w:b/>
        </w:rPr>
        <w:t>E. 5</w:t>
      </w:r>
    </w:p>
    <w:p>
      <w:r>
        <w:t>Dem Ausgang des Verfahrens entsprechend hat die Beschwerdeführerin die Verfahrenskosten zu tragen (Art. 65 Abs. 4 lit. a in Verbindung mit Art. 66 Abs. 1 Satz 1 BGG ). Dem anwaltlich vertretenen Beschwerdegegner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