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932/2012 vom 22. März 2013</w:t>
      </w:r>
    </w:p>
    <w:p>
      <w:r>
        <w:t>Bundesgericht, 2013-03-22, DE</w:t>
      </w:r>
    </w:p>
    <w:p>
      <w:r>
        <w:rPr>
          <w:b/>
        </w:rPr>
        <w:t xml:space="preserve">Quelle: </w:t>
      </w:r>
      <w:r>
        <w:t>https://mcp.opencaselaw.ch/entscheid/bger_8C_932_2012</w:t>
      </w:r>
    </w:p>
    <w:p>
      <w:r>
        <w:t>FR: TF 8C 932/2012 du 22 mars 2013</w:t>
      </w:r>
    </w:p>
    <w:p>
      <w:r>
        <w:t>IT: TF 8C 932/2012 del 22 marzo 2013</w:t>
      </w:r>
    </w:p>
    <w:p>
      <w:pPr>
        <w:pStyle w:val="Heading2"/>
      </w:pPr>
      <w:r>
        <w:t>Regeste</w:t>
      </w:r>
    </w:p>
    <w:p>
      <w:r>
        <w:t>Unfallversicherung | Unfallversicherung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Das Ereignis vom 4. Juli 2010 ist unstreitig als Nichtberufsunfall zu qualifizieren und begründet als solcher grundsätzlich einen Anspruch auf Leistungen der obligatorischen Unfallversicherung ( Art. 6 Abs. 1 und Art. 8 Abs. 1 UVG in Verbindung mit Art. 4 ATSG ). Streitig und zu prüfen ist, ob die Taggeldleistungen zu Recht um die Hälfte gekürzt wurden.</w:t>
      </w:r>
    </w:p>
    <w:p>
      <w:r>
        <w:rPr>
          <w:b/>
        </w:rPr>
        <w:t>E. 2.2</w:t>
      </w:r>
    </w:p>
    <w:p>
      <w:r>
        <w:t>Die Vorinstanz hat die Grundlagen über die Kürzung von Leistungen der Unfallversicherung ( Art. 39 UVG ), namentlich nach Art. 49 Abs. 2 lit. a UVV , richtig wiedergegeben. Danach ist der Tatbestand der Beteiligung an Raufereien oder Schlägereien gemäss Art. 49 Abs. 2 lit. a UVV grundsätzlich verschuldensunabhängig konzipiert und weiter gefasst als der Straftatbestand der Beteiligung an einem Raufhandel gemäss Art. 133 StGB . Es genügt, dass das zu sanktionierende Verhalten objektiv gesehen die Gefahr einschliesst, in Tätlichkeiten überzugehen oder solche nach sich zu ziehen, und die versicherte Person dies erkannt hat oder erkennen musste ( BGE 134 V 315 E. 4.5.1.2 S. 320).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(nicht publ. E. 1.1 des Urteils BGE 132 V 27 , in: SVR 2006 UV Nr. 13 S. 45 [U 325/05]; RKUV 2005 Nr. U 553 S. 311 E. 2 [U 360/04]; Urteil 8C_579/2010 vom 10. März 2011 E. 2.2.1). Eine Leistungskürzung nach Art. 49 Abs. 2 lit. a UVV setzt voraus, dass zwischen dem als Beteiligung an einer Rauferei oder Schlägerei zu qualifizierenden Verhalten und dem Unfall ein natürlicher und adäquater Kausalzusammenhang besteht.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Dabei ist auch ein gewisser zeitlicher Konnex notwendig (nicht publ. E. 1.2 des Urteils BGE 132 V 27 , in: SVR 2006 UV Nr. 13 S. 45; siehe auch BGE 134 V 315 E. 4.5.1.2 S. 320 f.; Urteil 8C_579/2010 E. 2.2.1 und 8C_363/2010 vom 29. März 2011 E. 3.2).</w:t>
      </w:r>
    </w:p>
    <w:p>
      <w:r>
        <w:rPr>
          <w:b/>
        </w:rPr>
        <w:t>E. 3</w:t>
      </w:r>
    </w:p>
    <w:p>
      <w:r>
        <w:t>Die Vorinstanz erwog im Wesentlichen, gestützt auf den Polizeibericht vom 31. August 2010 und die Zeugenaussage der Ehefrau des Versicherten bei der Staatsanwaltschaft des Kantons Zürich vom 15. November 2010 seien die späteren Täter im Parkhaus zunächst vor dem Fahrzeug der beiden Ersteren hergelaufen und hätten, als sie langsam an ihnen vorbeigefahren seien, provokative Gesten gemacht und ihnen Schimpfwörter nachgerufen. Der Versicherte habe sich durch das Verhalten der beiden jungen Männer provozieren lassen, indem er die Fensterscheibe der Beifahrerseite heruntergelassen und ihnen den rechten Mittelfinger gezeigt habe. Danach sei er von diesen angegriffen und brutal zusammengeschlagen worden. Das Bundesgericht verlange stets ein aktives Verhalten, um auf ein Mitverschulden und eine Kürzung der Versicherungsleistungen schliessen zu können. Vorliegend hätten die Täter die erste Ursache für die (einseitige) Schlägerei gesetzt. Sie hätten den Versicherten und seine Ehefrau, die das Parkhaus hätten verlassen wollen, absichtlich behindert. Beim langsamen Vorbeifahren hätten sie weiter provoziert, abwertende Gesten gemacht und den Versicherten sowie seine Ehefrau mündlich beleidigt. Sein nachfolgendes Zeigen des rechten Mittelfingers sei bei dieser Sachlage unglücklich gewesen. Der natürliche Kausalzusammenhang dürfte gegeben sein, da die Täter erst nach dieser Geste dem Auto nachgerannt seien, die Türe geöffnet und auf den Versicherten eingeschlagen hätten. Indessen sei das Zeigen des Mittelfingers wohl eine provokative Geste, aber nach der üblichen Lebenserfahrung nicht geeignet, bewusstlos geschlagen zu werden. Die Reaktion der Täter sei dermassen übertrieben gewesen, dass der Versicherte damit vernünftigerweise nicht habe rechnen müssen. Vergegenwärtige man sich den Geschehensablauf, sei er derart überwiegend als Opfer zu sehen, dass das Zeigen des Mittelfingers in einem Masse in den Hintergrund trete, dass es nicht mehr als adäquates Kausalelement erscheine. Ein ausschlaggebendes Element des Handelns, das den Angriff mitentscheidend ausgelöst hätte, sei nicht gegeben. Die relevante Aggression sei einzig von den Jugendlichen ausgegangen. Damit habe der Versicherte durch sein Verhalten nicht adäquat kausal dazu beigetragen, verprügelt zu werden, weshalb für die Leistungskürzung nach Art. 49 Abs. 2 lit. a UVV kein Raum bleibe.</w:t>
      </w:r>
    </w:p>
    <w:p>
      <w:r>
        <w:rPr>
          <w:b/>
        </w:rPr>
        <w:t>E. 4</w:t>
      </w:r>
    </w:p>
    <w:p>
      <w:r>
        <w:t>Der vorinstanzlichen Verneinung des adäquaten Kausalzusammenhangs kann nicht gefolgt werden. Es trifft zwar, dass der Beschwerdegegner von den beiden jungen Tätern (Jahrgänge 1990 und 1991) provoziert wurde, was aber unerheblich ist (E. 2.2. hievor). Entscheidend ist, dass er darauf in einer Art und Weise mit einer Gegenprovokation reagiert hat, die das folgende Unheil geradezu heraufbeschwor. Die Annahme der Vorinstanz, die Adäquanz sei zu verneinen, ist weltfremd. Die beiden jungen Erwachsenen hatten es geradezu auf Streit abgesehen, was dem Beschwerdegegner und seiner schwangeren Ehefrau nicht entgangen ist. Ihnen in einer solchen Situation mit einer obszönen Geste zu entgegnen, war nach der allgemeinen Lebenserfahrung und dem gewöhnlichen Lauf der Dinge geeignet, einen Unfall von der Art des eingetretenen herbeizuführen. Denn in der heutigen Zeit ist bei solchen Vorkommnissen mit einer derartigen Eskalation zu rechnen. Die Ehefrau des Beschwerdegegners hat denn auch unmittelbar nach seiner unüberlegten Reaktion zu ihm gesagt, es sei nicht gut gewesen, was er gemacht habe. Nicht stichhaltig ist auch die vorinstanzliche Argumentation, die bundesgerichtliche Praxis sehe ein passives Verhalten der versicherten Person nicht als Grund für eine Leistungskürzung an, sondern verlange ein aktives Verhalten. Denn Letzteres hat der Versicherte mit dem Zeigen des "Stinkefingers" klarerweise an den Tag gelegt, was aufgrund der Aktenlage der ausschlaggebende Grund für den Angriff der Täter war. Demnach erübrigt sich eine nähere Auseinandersetzung mit der diesbezüglichen Rechtsprechung des Bundesgerichts. Soweit die Vorinstanz erwogen hat und auch der Beschwerdegegner geltend macht, die Reaktion der zwei Täter sei nicht voraussehbar und unverhältnismässig gewesen und dürfe keinen Schutz geniessen, ist dieses Argument im Ansatz falsch. Denn es ist unerheblich, welche Wendung die Ereignisse nach dem Zeigen des "Stinkefingers" genommen haben (E. 2.2 hievor). Den Tätern wird dadurch mitnichten Verständnis entgegengebracht. Massgebend ist im vorliegenden Verfahren nämlich einzig, dass ihr Handeln - bei all seiner Verwerflichkeit - nicht als derart aussergewöhnlich oder ausserhalb der allgemeinen Lebenserfahrung zu betrachten ist, als dass mit einer entsprechenden Reaktion auf das Verhalten des Versicherten - Zeigen des "Stinkefingers" - objektiv nicht zu rechnen war (vgl. auch Urteil 8C_579/2010 E. 5.2.4; 8C_363/2010 e contrario). In diesem Sinne wird dem Versicherten sein Mitverschulden am Unfall vor Augen geführt, für das die Gemeinschaft der Versicherten nicht einzustehen hat. Unbestritten und nicht zu beanstanden ist die vorinstanzliche Feststellung, dass der natürliche Kausalzusammenhang zwischen dem Verhalten des Versicherten und dem Unfall vom 4. Juli 2010 zu bejahen ist. Damit sind die Voraussetzungen für die Anwendung des Art. 49 Abs. 2 lit. a UVV gegeben.</w:t>
      </w:r>
    </w:p>
    <w:p>
      <w:r>
        <w:rPr>
          <w:b/>
        </w:rPr>
        <w:t>E. 5</w:t>
      </w:r>
    </w:p>
    <w:p>
      <w:r>
        <w:t>Nach dem Gesagten braucht nicht geprüft zu werden, ob der - von der Allianz zusätzlich angerufene, aber von der Vorinstanz ebenfalls verneinte - Tatbestand des Art. 49 Abs. 2 lit. b UVV erfüllt ist.</w:t>
      </w:r>
    </w:p>
    <w:p>
      <w:r>
        <w:rPr>
          <w:b/>
        </w:rPr>
        <w:t>E. 6</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