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8C_932/2008 vom 12. Dezember 2008</w:t>
      </w:r>
    </w:p>
    <w:p>
      <w:r>
        <w:t>Bundesgericht, 2008-12-12, DE</w:t>
      </w:r>
    </w:p>
    <w:p>
      <w:r>
        <w:rPr>
          <w:b/>
        </w:rPr>
        <w:t xml:space="preserve">Quelle: </w:t>
      </w:r>
      <w:r>
        <w:t>https://mcp.opencaselaw.ch/entscheid/bger_8C_932_2008</w:t>
      </w:r>
    </w:p>
    <w:p>
      <w:r>
        <w:t>FR: TF 8C_932/2008 du 12 décembre 2008</w:t>
      </w:r>
    </w:p>
    <w:p>
      <w:r>
        <w:t>IT: TF 8C_932/2008 del 12 dicembre 2008</w:t>
      </w:r>
    </w:p>
    <w:p>
      <w:pPr>
        <w:pStyle w:val="Heading2"/>
      </w:pPr>
      <w:r>
        <w:t>Erwägungen</w:t>
      </w:r>
    </w:p>
    <w:p>
      <w:r>
        <w:rPr>
          <w:b/>
        </w:rPr>
        <w:t>E. 1.1</w:t>
      </w:r>
    </w:p>
    <w:p>
      <w:r>
        <w:t>Die für den Erlass der Rückerstattungsforderung massgebenden Voraussetzungen ( Art. 25 Abs. 1 ATSG in Verbindung mit Art. 95 Abs. 1 AVIG ), namentlich die bei der Beurteilung der Erlassvoraussetzung des guten Glaubens zu beachtenden Kriterien (vgl. BGE 122 V 221 E. 3 S. 223; AHI 2003 S. 159 E. 3a S. 161 f., I 553/01, mit Hinweisen), haben Verwaltung und Vorinstanz zutreffend dargelegt. Es wird darauf verwiesen.</w:t>
      </w:r>
    </w:p>
    <w:p>
      <w:r>
        <w:rPr>
          <w:b/>
        </w:rPr>
        <w:t>E. 1.2</w:t>
      </w:r>
    </w:p>
    <w:p>
      <w:r>
        <w:t>Die Beschwerde in öffentlich-rechtlichen Angelegenheiten ( Art. 82 ff. BGG ) kann wegen Rechtsverletzung gemäss Art. 95 und Art. 96 BGG erhoben werden,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w:t>
      </w:r>
    </w:p>
    <w:p>
      <w:r>
        <w:rPr>
          <w:b/>
        </w:rPr>
        <w:t>E. 2</w:t>
      </w:r>
    </w:p>
    <w:p>
      <w:r>
        <w:t>Verwaltung und Vorinstanz haben in ihren Entscheiden dargelegt, dass die Beschwerdeführerin bezüglich des für den Monat August 2005 ausgefüllten Formulars ihre Meldepflicht verletzt hat und hinsichtlich der Monate September und Oktober 2005 nicht das ihr zumutbare Mindestmass an Sorgfalt aufgewendet hat, weshalb sie sich nicht auf den guten Glauben zu berufen vermag. Die von der Beschwerdeführerin dagegen erhobenen Einwendungen, welche eine blosse Wiederholung der bereits im Einspracheverfahren vorgetragenen Argumente darstellen, vermögen die Sachverhaltsfeststellung der Vorinstanz nicht als offensichtlich unrichtig oder als auf einer Rechtsverletzung im Sinne von Art. 95 f. BGG beruhend erscheinen zu lassen ( Art. 97 Abs. 1 und Art. 105 Abs. 2 BGG ; vgl. dazu E. 1.2 hievor). Mit der weiteren - ebenfalls schon in den vorinstanzlichen Verfahren erhobenen - Behauptung der Beschwerdeführerin, es fehle ihr am erforderlichen "Fachwissen", haben sich Verwaltung und Vorinstanz (vgl. namentlich den Einspracheentscheid des AWA vom 26. Februar 2007) bereits zutreffend auseinandergesetzt, wobei ergänzend auf das frühere - die gleiche Frage des guten Glaubens als Erlassvoraussetzung betreffende - Verfahren der Beschwerdeführerin vor dem damaligen Eidgenössischen Versicherungsgericht zu verweisen ist (Urteil C 237/05 vom 7. Juni 2006). Da in der letztinstanzlichen Beschwerde auch sonst nichts vorgebracht wird, was eine Rechtsverletzung gemäss Art. 95 f. BGG als erstellt oder die vorinstanzliche Feststellung des Sachverhalts als mangelhaft im Sinne von Art. 97 Abs. 1 und Art. 105 Abs. 2 BGG erscheinen liesse (vgl. vorstehende E. 1.2), muss es bei der Feststellung sein Bewenden haben, dass die Ablehnung des Gesuchs um Erlass der Rückerstattung der zu viel bezogenen Arbeitslosentaggelder mangels guten Glaubens zu Recht erfolgt ist.</w:t>
      </w:r>
    </w:p>
    <w:p>
      <w:r>
        <w:rPr>
          <w:b/>
        </w:rPr>
        <w:t>E. 3</w:t>
      </w:r>
    </w:p>
    <w:p>
      <w:r>
        <w:t>Die Beschwerde erweist sich als offensichtlich unbegründet und ist im vereinfachten Verfahren gemäss Art. 109 BGG (summarische Begründung) und ohne Schriftenwechsel ( Art. 102 BGG ) zu erledigen.</w:t>
      </w:r>
    </w:p>
    <w:p>
      <w:r>
        <w:rPr>
          <w:b/>
        </w:rPr>
        <w:t>E. 4</w:t>
      </w:r>
    </w:p>
    <w:p>
      <w:r>
        <w:t>Bei diesem Ausgang sind die Kosten des bundesgerichtlichen Verfahrens der Beschwerdeführerin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