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926/2010 vom 7. Januar 2011</w:t>
      </w:r>
    </w:p>
    <w:p>
      <w:r>
        <w:t>Bundesgericht, 2011-01-07, DE</w:t>
      </w:r>
    </w:p>
    <w:p>
      <w:r>
        <w:rPr>
          <w:b/>
        </w:rPr>
        <w:t xml:space="preserve">Quelle: </w:t>
      </w:r>
      <w:r>
        <w:t>https://mcp.opencaselaw.ch/entscheid/bger_8C_926_2010</w:t>
      </w:r>
    </w:p>
    <w:p>
      <w:r>
        <w:t>FR: TF 8C 926/2010 du 7 janvier 2011</w:t>
      </w:r>
    </w:p>
    <w:p>
      <w:r>
        <w:t>IT: TF 8C 926/2010 del 7 gennaio 2011</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Die Beweiswürdigung durch das kantonale Gericht verletzt namentlich dann Bundesrecht, wenn es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8C_727/2009 vom 19. Novem-ber 2009 E. 1.2).</w:t>
      </w:r>
    </w:p>
    <w:p>
      <w:r>
        <w:rPr>
          <w:b/>
        </w:rPr>
        <w:t>E. 2.1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2.2</w:t>
      </w:r>
    </w:p>
    <w:p>
      <w:r>
        <w:t>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 Urteil I 865/06 vom 12. Oktober 2007 E. 3.2).</w:t>
      </w:r>
    </w:p>
    <w:p>
      <w:r>
        <w:rPr>
          <w:b/>
        </w:rPr>
        <w:t>E. 2.3</w:t>
      </w:r>
    </w:p>
    <w:p>
      <w:r>
        <w:t>Streitig und zu prüfen ist, ob die Vorinstanz Bundesrecht verletzte, als sie einen Rentenanspruch des Beschwerdeführers verneinte.</w:t>
      </w:r>
    </w:p>
    <w:p>
      <w:r>
        <w:rPr>
          <w:b/>
        </w:rPr>
        <w:t>E. 3.1</w:t>
      </w:r>
    </w:p>
    <w:p>
      <w:r>
        <w:t>Das kantonale Gericht hat in umfassender Würdigung der medi-zinischen Akten, insbesondere aber gestützt auf den Austrittsbericht der Klinik L.________ vom 29. Mai 2007 für das Bundesgericht grundsätzlich verbindlich festgestellt, dass der Beschwerdeführer spätestens ab Dezember 2007 in einer leidensangepassten Tätigkeit wieder voll arbeitsfähig wäre. Was der Versicherte gegen diese Feststellung vorbringt, vermag sie nicht als offensichtlich unrichtig erscheinen zu lassen. Zwar ist, wie der Beschwerdeführer zutreffend geltend macht, der Beweiswert der nicht unterzeichneten Protokolleinträge, welche angeblich von einer nicht namentlich genannten medizinischen Fachperson des Dienstes N.________ erstellt wurden, als gering einzustufen (vgl. Urteil 8C_380/2009 vom 17. Sep-tember 2009 E. 2.4.1); die Vorinstanz hat indessen ihre Würdigung nicht gestützt auf diese Einträge, sondern auf den genannten Bericht der Klinik L.________ vorgenommen. Es ist jedenfalls nicht offensichtlich unrichtig und verstösst nicht gegen Bundesrecht, wenn die Vorinstanz der Einschätzung der behandelnden Ärzte der Klinik L.________ - in der sich der Versicherte mehrere Wochen stationär aufhielt - höheres Gewicht zumassen, als den Äusserungen anderer behandelnder Ärzte.</w:t>
      </w:r>
    </w:p>
    <w:p>
      <w:r>
        <w:rPr>
          <w:b/>
        </w:rPr>
        <w:t>E. 3.2</w:t>
      </w:r>
    </w:p>
    <w:p>
      <w:r>
        <w:t>War der Versicherte ab Dezember 2007 in einer leidensange-passten, mittelschweren, Tätigkeit wieder voll arbeitsfähig, so drängt sich auch kein Abzug vom Tabellenlohn im Sinne von BGE 126 V 75 E. 5 S. 78 auf. Nicht ohne weiteres nachvollziehbar ist, weshalb die Vorinstanz bei der Bestimmung des Validen- und des Invalideneinkommens nicht von demselben Tabellenlohn der LSE ausgegangen ist; da sich die Vorgehensweise des kantonalen Gerichts indessen zu Gunsten des Versicherten auswirkt, kann auf eine nähere Prüfung dieser Frage verzichtet werden. Feststeht damit jedenfalls, dass der Invaliditätsgrad des Beschwerdeführers höchstens 16 % beträgt und damit nicht rentenbegründend ist.</w:t>
      </w:r>
    </w:p>
    <w:p>
      <w:r>
        <w:rPr>
          <w:b/>
        </w:rPr>
        <w:t>E. 3.3</w:t>
      </w:r>
    </w:p>
    <w:p>
      <w:r>
        <w:t>Durfte die Vorinstanz ohne Bundesrecht zu verletzen von einem Invaliditätsgrad von höchstens 16 % ausgehen, so war die Verneinung eines Rentenanspruches rechtens; der Antrag auf eine unbefristete Rente ist abzuweisen. Da aus der Beschwerde keine Begründung für den Eventualantrag auf eine befristeten Rente hervorgeht, ist auch dieser ohne weiteres abzuweisen.</w:t>
      </w:r>
    </w:p>
    <w:p>
      <w:r>
        <w:rPr>
          <w:b/>
        </w:rPr>
        <w:t>E. 4</w:t>
      </w:r>
    </w:p>
    <w:p>
      <w:r>
        <w:t>Dem Ausgang der Verfahren entsprechend sind die Gerichtskosten dem Beschwerdeführer aufzuerlegen ( Art. 66 Abs. 1 BGG ). Seinem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