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924/2008 vom 8. April 2009</w:t>
      </w:r>
    </w:p>
    <w:p>
      <w:r>
        <w:t>Bundesgericht, 2009-04-08, DE</w:t>
      </w:r>
    </w:p>
    <w:p>
      <w:r>
        <w:rPr>
          <w:b/>
        </w:rPr>
        <w:t xml:space="preserve">Quelle: </w:t>
      </w:r>
      <w:r>
        <w:t>https://mcp.opencaselaw.ch/entscheid/bger_8C_924_2008</w:t>
      </w:r>
    </w:p>
    <w:p>
      <w:r>
        <w:t>FR: TF 8C 924/2008 du 8 avril 2009</w:t>
      </w:r>
    </w:p>
    <w:p>
      <w:r>
        <w:t>IT: TF 8C 924/2008 del 8 aprile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 der vorinstanzliche Entscheid nicht Geldleistungen der Unfall- oder der Militärversicherung betrifft,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2.1</w:t>
      </w:r>
    </w:p>
    <w:p>
      <w:r>
        <w:t>Der Anspruch auf Leistungen der Invalidenversicherung setzt unter anderem voraus, dass die versicherte Person invalid oder von Invalidität unmittelbar bedroht ist. Invalidität ist gemäss Art. 8 Abs. 1 ATSG (SR 830.1) die voraussichtlich bleibende oder längere Zeit dauernde ganze oder teilweise Erwerbsunfähigkeit.</w:t>
      </w:r>
    </w:p>
    <w:p>
      <w:r>
        <w:rPr>
          <w:b/>
        </w:rPr>
        <w:t>E. 2.2</w:t>
      </w:r>
    </w:p>
    <w:p>
      <w:r>
        <w:t>Wie das kantonale Gericht zutreffend erwogen hat, ist hinsichtlich des Beweiswertes eines Arztberichtes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w:t>
      </w:r>
    </w:p>
    <w:p>
      <w:r>
        <w:rPr>
          <w:b/>
        </w:rPr>
        <w:t>E. 2.3</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2.4</w:t>
      </w:r>
    </w:p>
    <w:p>
      <w:r>
        <w:t>Streitig und zu prüfen ist, ob die Vorinstanz Bundesrecht verletzte, indem sie das Vorliegen eines invalidisierenden Gesundheitsschadens verneinte.</w:t>
      </w:r>
    </w:p>
    <w:p>
      <w:r>
        <w:rPr>
          <w:b/>
        </w:rPr>
        <w:t>E. 3.1</w:t>
      </w:r>
    </w:p>
    <w:p>
      <w:r>
        <w:t>Das kantonale Gericht hat in Würdigung der gesamten Akten - insbesondere gestützt auf das interdisziplinäre Gutachten der Dres. med. H.________ und R.________ vom 28. Dezember 2006 - für das Bundesgericht grundsätzlich verbindlich festgestellt, dass die Versicherte aus medizinischer Sicht in einer leidensangepassten Tätigkeit vollständig arbeitsfähig ist. Die Beschwerdeführerin betrachtet diese Sachverhaltsfeststellung als rechtsfehlerhaft, da die Vorinstanz dem interdisziplinären Gutachten zu Unrecht vollen Beweiswert zuerkannt habe.</w:t>
      </w:r>
    </w:p>
    <w:p>
      <w:r>
        <w:rPr>
          <w:b/>
        </w:rPr>
        <w:t>E. 3.2</w:t>
      </w:r>
    </w:p>
    <w:p>
      <w:r>
        <w:t>Die Beschwerdeführerin bezweifelt die notwendige Unabhängigkeit und Unparteilichkeit der Gutachter, da diese seit vielen Jahren in ganz erheblichem Umfange von der Beschwerdegegnerin mit der Erstellung von Gutachten beauftragt würden. Wie die Vorinstanz zutreffend erwogen hat, ist in der Tatsache allein, dass ein frei praktizierender Arzt von einer Versicherung wiederholt für die Erstellung von Gutachten beigezogen wird, rechtsprechungsgemäss kein Ausstands- oder Ablehnungsgrund zu erblicken (RKUV 1999 Nr. U 332 S. 193 f., U 212/97 E. 2). Es verhält sich ähnlich wie in Bezug auf die Medizinischen Abklärungsstellen (MEDAS). Wenn selbst aus dem Umstand, dass ein Arzt oder eine Ärztin in einem Anstellungsverhältnis zum Versicherungsträger steht, nicht auf mangelnde Objektivität und auf Befangenheit zu schliessen ist, kann dieser Vorwurf umso weniger gegenüber freiberuflichen Experten erhoben werden, welche einzig zufolge ihrer Gutachtertätigkeit in Kontakt mit der IV-Stelle stehen. Entscheidend ist, dass fachlich-inhaltlich eine Weisungsunabhängigkeit der begutachtenden Ärzte besteht. Gleiches gilt hinsichtlich der wirtschaftlichen Abhängigkeit von Aufträgen der Invalidenversicherung (SVR 2008 IV Nr. 22 S. 69, 9C_67/2007 E. 2.4).</w:t>
      </w:r>
    </w:p>
    <w:p>
      <w:r>
        <w:rPr>
          <w:b/>
        </w:rPr>
        <w:t>E. 3.3</w:t>
      </w:r>
    </w:p>
    <w:p>
      <w:r>
        <w:t>Die Versicherte behauptet, den Gutachtern hätten nicht sämtliche medizinische Vorakten vorgelegen. Rechtsprechungsgemäss ist für den Beweiswert eines Arztberichtes unter anderem entscheidend, ob er in Kenntnis der Vorakten (Anamnese) abgegeben worden ist ( BGE 125 V 351 E. 3a S. 352). Vorliegend steht fest und ist unbestritten, dass die Dres. med. H.________ und R.________ über die gesamten medizinischen Akten der Beschwerdegegnerin verfügten; bei diesen lag neben den Schreiben des Dr. med. S.________ insbesondere ein Bericht des die Versicherte schon seit Jahrzehnten betreuenden Dr. med. B.________. Die Gutachter konnten sich somit ein Bild von der Anamnese der Versicherten machen. Damit ist den bundesrechtlichen Anforderungen an eine Begutachtung Genüge getan, zumal die Beschwerdeführerin auch in der Folge keine weiteren relevanten medizinischen Akten beibringen konnte und Vorinstanz und Verwaltung im Vorbescheid- bzw. Beschwerdeverfahren in zulässiger antizipierter Beweiswürdigung ( BGE 130 II 425 E. 2.1 S. 428) von den beantragten Beweismassnahmen absehen durften. Wie die Vorinstanz zudem zutreffend erwogen hat, kann unter dem Gesichtswinkel der bundesrechtlichen Anforderungen an die Beweiskraft einer fachärztlichen Expertise nicht verlangt werden, dass den begutachtenden Ärzten stets sämtliche bei irgendeiner Versicherung oder bei irgendeiner medizinischen Fachperson allenfalls vorhandenen Akten vorliegen müssen (vgl. auch Urteil 9C_174/2007 vom 22. Juni 2007), würde doch sonst die Durchführung einer rechtskonformen Begutachtung massiv erschwert und in vielen Fällen gar verunmöglicht.</w:t>
      </w:r>
    </w:p>
    <w:p>
      <w:r>
        <w:rPr>
          <w:b/>
        </w:rPr>
        <w:t>E. 3.4</w:t>
      </w:r>
    </w:p>
    <w:p>
      <w:r>
        <w:t>Entgegen den Ausführungen der Beschwerdeführerin erfüllt die interdisziplinäre Begutachtung durch die Dres. med. H.________ und R.________ auch die übrigen bundesrechtlichen Anforderungen; festzuhalten ist insbesondere, dass es bei diagnostizierter somatoformer Schmerzstörung zu den Aufgaben der psychiatrischen Fachperson gehört, zur Überwindbarkeit der Schmerzen Stellung zu nehmen ( BGE 130 V 352 E. 2.2.4 S. 355). Die Vorinstanz hat somit der Begutachtung zu Recht vollen Beweiswert zuerkannt; die auf diese gestützten Sachverhaltsfeststellungen sind nicht willkürlich. Mit der basierend darauf nach der gemischten Methode vorgenommenen Invaliditätsbemessung setzt sich die Beschwerdeführerin nicht auseinander, weshalb sich Weiterungen dazu erübrigen. Die Beschwerde ist demnach abzuweisen.</w:t>
      </w:r>
    </w:p>
    <w:p>
      <w:r>
        <w:rPr>
          <w:b/>
        </w:rPr>
        <w:t>E. 4</w:t>
      </w:r>
    </w:p>
    <w:p>
      <w:r>
        <w:t>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