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923/2013 vom 18. November 2014</w:t>
      </w:r>
    </w:p>
    <w:p>
      <w:r>
        <w:t>Bundesgericht, 2014-11-18, FR</w:t>
      </w:r>
    </w:p>
    <w:p>
      <w:r>
        <w:rPr>
          <w:b/>
        </w:rPr>
        <w:t xml:space="preserve">Quelle: </w:t>
      </w:r>
      <w:r>
        <w:t>https://mcp.opencaselaw.ch/entscheid/bger_8C_923_2013</w:t>
      </w:r>
    </w:p>
    <w:p>
      <w:r>
        <w:t>FR: TF 8C 923/2013 du 18 novembre 2014</w:t>
      </w:r>
    </w:p>
    <w:p>
      <w:r>
        <w:t>IT: TF 8C 923/2013 del 18 novembre 2014</w:t>
      </w:r>
    </w:p>
    <w:p>
      <w:pPr>
        <w:pStyle w:val="Heading2"/>
      </w:pPr>
      <w:r>
        <w:t>Regeste</w:t>
      </w:r>
    </w:p>
    <w:p>
      <w:r>
        <w:t>Droit de la fonction publique (classe de traitement; bonne foi) | Fonction publique</w:t>
      </w:r>
    </w:p>
    <w:p>
      <w:pPr>
        <w:pStyle w:val="Heading2"/>
      </w:pPr>
      <w:r>
        <w:t>Erwägungen</w:t>
      </w:r>
    </w:p>
    <w:p>
      <w:r>
        <w:rPr>
          <w:b/>
        </w:rPr>
        <w:t>E. 1.1</w:t>
      </w:r>
    </w:p>
    <w:p>
      <w:r>
        <w:t>Dans son précédent arrêt du 5 juin 2013, le Tribunal fédéral a déjà retenu qu'il s'agissait d'une contestation pécuniaire, que le motif d'exclusion de l' art. 83 let . g LTF n'entrait pas en considération et que le seuil de la valeur litigieuse déterminante était atteint (voir le consid. 1).</w:t>
      </w:r>
    </w:p>
    <w:p>
      <w:r>
        <w:rPr>
          <w:b/>
        </w:rPr>
        <w:t>E. 1.2</w:t>
      </w:r>
    </w:p>
    <w:p>
      <w:r>
        <w:t>Pour le reste, déposé en temps utile et dans les formes requises contre une décision finale, le recours est recevable au regard des art. 42, 90 et 100 al. 1 LTF .</w:t>
      </w:r>
    </w:p>
    <w:p>
      <w:r>
        <w:rPr>
          <w:b/>
        </w:rPr>
        <w:t>E. 2</w:t>
      </w:r>
    </w:p>
    <w:p>
      <w:r>
        <w:t>La procédure 8C_637/2012 portait sur l'interprétation de l'art. 6 du règlement relatif au système de rétribution des collaborateurs de l'Etat de Vaud (RSRC; RS/VD 172.315.2). La teneur de cette disposition a été exposée dans l'arrêt du 5 juin 2013. On peut se borner à y renvoyer. Le Tribunal fédéral a jugé que l'art 6 RSRC, dont le texte n'était pas suffisamment clair pour permettre une interprétation littérale, devait être compris à l'aune de la note interprétative du 23 septembre 2010 émanant de la Délégation aux ressources humaines du Conseil d'Etat vaudois. La disposition devait être interprétée en ce sens que l'alinéa 1 s'appliquait également au personnel enseignant et que les réductions prévues aux alinéas 1 et 2 pouvaient être cumulées. En d'autres termes, pour obtenir une rémunération sans réduction, l'enseignant devait disposer à la fois du titre académique (formation de base) et du titre pédagogique exigés par la fonction. Celui qui ne bénéficiait ni de l'un ni de l'autre était pénalisé de trois classes de salaire. Cela étant, le Tribunal fédéral a considéré qu'il ne lui appartenait pas de statuer définitivement sur le litige. En effet, la juridiction cantonale ne s'était pas prononcée sur tous les aspects de la contestation, en particulier sur l'argumentation présentée par l'intimé (recourant dans la présente procédure) portant notamment sur le principe de la bonne foi et la prescription du droit de l'employeur de modifier sa situation salariale.</w:t>
      </w:r>
    </w:p>
    <w:p>
      <w:r>
        <w:rPr>
          <w:b/>
        </w:rPr>
        <w:t>E. 2.1</w:t>
      </w:r>
    </w:p>
    <w:p>
      <w:r>
        <w:t>Reprenant la cause, la Chambre des recours a pris acte des considérants de la Cour de céans et retenu que la réduction de trois classes de salaire appliquée au recourant était justifiée compte tenu du fait que celui-ci ne disposait, au sens de l'art. 6 RSRC, ni du titre académique requis pour la fonction de maître de travaux manuels (un DAS) ni d'un titre pédagogique. En ce qui concerne le moyen tiré de la bonne foi, elle l'a écarté. A ce propos, elle a considéré que la bascule dans le nouveau système avait créé une situation provisoire et que même si le changement d'emploi-type communiqué au recourant laissait présager une amélioration de sa rémunération, cela ne suffisait pas pour admettre que l'Etat de Vaud ne pouvait pas procéder à une adaptation de son traitement fondée sur une application correcte du règlement, ce qu'il avait fait de manière définitive avec le nouvel avenant au contrat de travail du 23 novembre 2010.</w:t>
      </w:r>
    </w:p>
    <w:p>
      <w:r>
        <w:rPr>
          <w:b/>
        </w:rPr>
        <w:t>E. 3</w:t>
      </w:r>
    </w:p>
    <w:p>
      <w:r>
        <w:t>Le recourant se plaint d'une violation du principe de la bonne foi.</w:t>
      </w:r>
    </w:p>
    <w:p>
      <w:r>
        <w:rPr>
          <w:b/>
        </w:rPr>
        <w:t>E. 3.1</w:t>
      </w:r>
    </w:p>
    <w:p>
      <w:r>
        <w:t>L'Etat de Vaud avait, à juste titre, reconnu une erreur dans la qualification de son poste. En tant qu'enseignant en travaux manuels, son activité correspondait en effet bien plutôt à un emploi-type de "maître de disciplines spéciales" qu'à celui de "maître généraliste" de la chaîne 142. Ce changement dans l'emploi-type avait pour conséquence de le faire passer du niveau de fonction 9 au niveau de fonction 10. Tandis que ces modifications auraient dû conduire à l'admission partielle de ses conclusions devant le TriPAC, l'Etat de Vaud avait alors décidé de lui attribuer la lettre C (au lieu de B). Cette pénalité de trois classes de salaire (et non pas de deux seulement) revenait à maintenir inchangée sa situation salariale. Or, selon le recourant, un tel comportement était déloyal et contraire à la bonne foi dans la mesure où l'Etat de Vaud lui avait initialement signifié par l'introduction d'une lettre B que l'absence de titres dans son cursus de formation n'entraînerait pour lui qu'une réduction de deux classes de salaire et non pas en définitive de trois classes.</w:t>
      </w:r>
    </w:p>
    <w:p>
      <w:r>
        <w:rPr>
          <w:b/>
        </w:rPr>
        <w:t>E. 3.2</w:t>
      </w:r>
    </w:p>
    <w:p>
      <w:r>
        <w:t>Aux termes de l' art. 5 al. 3 Cst. , les organes de l'Etat et les particuliers doivent agir conformément aux règles de la bonne foi. Cela implique notamment qu'ils s'abstiennent d'adopter un comportement contradictoire ou abusif ( ATF 134 V 306 consid. 4.2 p. 312). De ce principe découle notamment, en vertu de l' art. 9 Cst. , le droit de toute personne à la protection de sa bonne foi dans ses relations avec l'Etat (sur le rapport avec l' art. 5 al. 3 Cst. ,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w:t>
      </w:r>
    </w:p>
    <w:p>
      <w:r>
        <w:rPr>
          <w:b/>
        </w:rPr>
        <w:t>E. 3.3</w:t>
      </w:r>
    </w:p>
    <w:p>
      <w:r>
        <w:t>Il est douteux que le premier avenant modifiant le contrat de travail du recourant ait été établi à titre provisoire comme le retient la juridiction cantonale. L'Etat de Vaud n'avait alors formulé aucune réserve sur le niveau de fonction qu'il attribuait au recourant en application du nouveau système salarial DEFCO-SYSREM. Il a d'ailleurs admis par la suite qu'il avait commis une erreur dans la collocation de l'intéressé portant à la fois sur l'emploi-type et le niveau de fonction attribué à celui-ci, alors que les circonstances de fait sur la base desquelles il s'était prononcé n'avaient pas changé. A cet égard, il ne peut être opposé au recourant que la mise en oeuvre de l'art. 6 RSRC avait suscité des difficultés d'interprétation et d'application qui n'ont pu être levées qu'avec la note interprétative du 23 septembre 2010. On peut toutefois laisser indécise la question de savoir si l'attribution de la lettre B au moment de la bascule constitue une assurance donnée par l'intimé sur laquelle le recourant pourrait se prévaloir afin d'être colloqué, pour un emploi-type de maître de disciplines spéciales, en 10B au lieu de 10C. Le moyen soulevé est, quoi qu'il en soit, mal fondé dès lors que le recourant n'a pas établi ni même prétendu avoir pris, à raison de ce qui lui avait été communiqué, des dispositions contraires à ses intérêts et sur lesquelles il ne pourrait plus revenir.</w:t>
      </w:r>
    </w:p>
    <w:p>
      <w:r>
        <w:rPr>
          <w:b/>
        </w:rPr>
        <w:t>E. 3.4</w:t>
      </w:r>
    </w:p>
    <w:p>
      <w:r>
        <w:t>Le recourant ne discute aucun autre point du jugement attaqué. En particulier, il ne conteste pas que la solution retenue par la Chambre des recours correspond à une correcte application des règles sur la rétribution des enseignants du canton de Vaud telles qu'elles ont été explicitées par le Tribunal fédéral dans son arrêt du 5 juin 2013. Le recours doit par conséquent être rejeté.</w:t>
      </w:r>
    </w:p>
    <w:p>
      <w:r>
        <w:rPr>
          <w:b/>
        </w:rPr>
        <w:t>E. 4</w:t>
      </w:r>
    </w:p>
    <w:p>
      <w:r>
        <w:t>Vu l'issue du litige, le recourant supportera les frais de justice ( art. 66 al. 1 LTF ). Bien qu'il obtient gain de cause, l'intimé n'a pas droit à des dépens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