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922/2010 vom 22. August 2011</w:t>
      </w:r>
    </w:p>
    <w:p>
      <w:r>
        <w:t>Bundesgericht, 2011-08-22, DE</w:t>
      </w:r>
    </w:p>
    <w:p>
      <w:r>
        <w:rPr>
          <w:b/>
        </w:rPr>
        <w:t xml:space="preserve">Quelle: </w:t>
      </w:r>
      <w:r>
        <w:t>https://mcp.opencaselaw.ch/entscheid/bger_8C_922_2010</w:t>
      </w:r>
    </w:p>
    <w:p>
      <w:r>
        <w:t>FR: TF 8C 922/2010 du 22 août 2011</w:t>
      </w:r>
    </w:p>
    <w:p>
      <w:r>
        <w:t>IT: TF 8C 922/2010 del 22 agosto 2011</w:t>
      </w:r>
    </w:p>
    <w:p>
      <w:pPr>
        <w:pStyle w:val="Heading2"/>
      </w:pPr>
      <w:r>
        <w:t>Regeste</w:t>
      </w:r>
    </w:p>
    <w:p>
      <w:r>
        <w:t>Unfallversicherung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Die SUVA sprach dem Versicherten eine Invalidenrente bei einem Invaliditätsgrad von 24 % zu. Dabei ging sie von einem Valideneinkommen von Fr. 76'706.- und einem Invalideneinkommen von Fr. 58'302.- aus. Sie setzte voraus, dass der Versicherte in der Lage wäre, eine angepasste Tätigkeit vollzeitlich auszuüben. Zur Bestimmung des Invalideneinkommens zog sie den Zentralwert im Anforderungsniveau 3 des Sektors 3 der TA1 der Schweizerischen Lohnstrukturerhebung (LSE) 2006 bei. Der Versicherte legte in seiner Beschwerde an das kantonale Gericht dar, dass sowohl das Valideneinkommen höher als auch das Invalideneinkommen tiefer anzusetzen sei. Das kantonale Gericht hat erwogen, die SUVA sei zu Recht von einer vollzeitlichen Arbeitsfähigkeit in einer angepassten Tätigkeit ausgegangen, indessen dürfe bei der Bestimmung des Invalideneinkommens nicht auf das Anforderungsniveau 3 abgestellt werden und wies die Sache zur erneuten Verfügung an die SUVA zurück. Damit hat es einen Zwischenentscheid im Sinne des BGG gefällt. Da er eine materielle Vorgabe enthält, hätte dieser Entscheid - könnte er von der SUVA nicht vor Bundesgericht angefochten werden - zur Folge, dass die SUVA unter Umständen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Auf die Beschwerde der SUVA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Nicht unter das Novenverbot von Art. 99 Abs. 1 BGG fällt allgemein zugängliche Fachliteratur, welche als allgemein- und gerichtsnotorisch gilt (SVR 2009 KV Nr. 1 S. 1, 9C_56/2009 E. 3.4).</w:t>
      </w:r>
    </w:p>
    <w:p>
      <w:r>
        <w:rPr>
          <w:b/>
        </w:rPr>
        <w:t>E. 3.2</w:t>
      </w:r>
    </w:p>
    <w:p>
      <w:r>
        <w:t>Bezüglich des von der SUVA letztinstanzlich erstmals eingereichten Ausdrucks der Internet-Website der I.________ GmbH stellt sich die Frage, ob dieser als neues Beweismittel unter das Novenverbot fällt, oder ob diese über das Internet allgemein zugänglichen Informationen analog allgemein zugänglicher Fachliteratur als notorisch zu gelten haben und deshalb vom Novenverbot ausgenommen sind. Wie es sich damit verhält, braucht indessen nicht abschliessend geprüft zu werden, da sich aus diesen Ausdrucken für die im vorliegenden Verfahren streitigen Belange keine erheblichen Schlüsse ziehen lassen.</w:t>
      </w:r>
    </w:p>
    <w:p>
      <w:r>
        <w:rPr>
          <w:b/>
        </w:rPr>
        <w:t>E. 3.3</w:t>
      </w:r>
    </w:p>
    <w:p>
      <w:r>
        <w:t>Zweifellos unzulässig ist demgegenüber im Lichte von Art. 99 Abs. 1 BGG der erst letztinstanzlich vom Beschwerdegegner eingereichte Bericht des Dr. med. G.________, Klinik X.________, vom 3. Februar 2010, so dass dieser bei der Beurteilung der im vorliegenden Verfahren gültigen Anträge unbeachtet bleiben muss.</w:t>
      </w:r>
    </w:p>
    <w:p>
      <w:r>
        <w:rPr>
          <w:b/>
        </w:rPr>
        <w:t>E. 4</w:t>
      </w:r>
    </w:p>
    <w:p>
      <w:r>
        <w:t>Es ist unbestritten, dass der Beschwerdegegner ab 1. Mai 2009 Anspruch auf eine Invalidenrente der Unfallversicherung hat. Streitig und zu prüfen ist jedoch, ob der Invaliditätsgrad, der dieser Rente zu Grunde zu legen ist, höher als 24 % ist.</w:t>
      </w:r>
    </w:p>
    <w:p>
      <w:r>
        <w:rPr>
          <w:b/>
        </w:rPr>
        <w:t>E. 5.1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5.2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6.1</w:t>
      </w:r>
    </w:p>
    <w:p>
      <w:r>
        <w:t>Es steht fest und ist unbestritten, dass der Versicherte seine angestammte Tätigkeit als Bauspengler wie auch andere handwerklichen und körperlich belastenden Arbeiten nicht mehr ausüben kann. Gemäss den aufgrund des Berichts des Dr. med. S.________ vom 5. November 2008 präzisierten Ausführungen des SUVA-Kreisarztes Dr. med. E.________ vom 14. September 2009 sind nur noch leichteste Tätigkeiten zumutbar. Insbesondere stimmt der Kreisarzt mit der Einschätzung überein, dass auch lang dauernde Schreibarbeiten nicht mehr möglich sind. Im Rahmen dieser Einschränkungen ist jedoch gemäss Dr. med. E.________ ein ganztägiger Einsatz zumutbar. Was der Versicherte gegen die Beurteilung des Kreisarztes vorbringt, vermag auch keine geringen Zweifel ( BGE 135 V 465 E. 4.6 S. 471) an der Schlüssigkeit seiner Feststellungen zu begründen. Insbesondere kann dem Bericht des Dr. med. S.________ keine zeitliche Einschränkung in der Erwerbsfähigkeit entnommen werden; entgegen den Ausführungen dieses Arztes ist zudem der Grad der Invalidität unter Ausklammerung des sozialen Kontextes zu bestimmen.</w:t>
      </w:r>
    </w:p>
    <w:p>
      <w:r>
        <w:rPr>
          <w:b/>
        </w:rPr>
        <w:t>E. 6.2</w:t>
      </w:r>
    </w:p>
    <w:p>
      <w:r>
        <w:t>Die Parteien stimmen zu Recht überein, das Invalideneinkommen des Versicherten sei aufgrund der Zahlen der LSE zu bestimmen. Die SUVA ging hiebei vom Zentralwert für die im Anforderungsniveau 3 (Berufs- und Fachkenntnisse vorausgesetzt) beschäftigten Männer im Sektor 3 (Dienstleistungen) aus. Das kantonale Gericht hat hiezu erwogen, da dem Beschwerdegegner keine andauernden Schreibarbeiten mehr zumutbar seien, hätte die Beschwerdeführerin nicht auf das Anforderungsniveau 3 abstellen dürfen.</w:t>
      </w:r>
    </w:p>
    <w:p>
      <w:r>
        <w:rPr>
          <w:b/>
        </w:rPr>
        <w:t>E. 6.3</w:t>
      </w:r>
    </w:p>
    <w:p>
      <w:r>
        <w:t>Der Beschwerdegegner war vor dem Unfall Geschäftsführer seiner eigenen GmbH. Daraus ist zu schliessen, dass er sich in der Baubranche ein gewisses Fachwissen aneignen konnte. Entgegen den Erwägungen der Vorinstanz ist es überwiegend wahrscheinlich, dass er trotz seiner gesundheitlichen Einschränkungen dieses Spezialwissen mindestens teilweise wird erwerblich verwerten können. Wenn die SUVA der Bemessung des Invalideneinkommens den Zentralwert für die im Anforderungsniveau 3 (Berufs- und Fachkenntnisse vorausgesetzt) beschäftigten Männer im Sektor 3 (Dienstleistungen) zu Grunde legte, so erscheint dies sachgerecht. Das von der Anstalt auf Fr. 58'302.- festgelegte Invalideneinkommen ist demnach nicht zu beanstanden; ihre Beschwerde ist gutzuheissen.</w:t>
      </w:r>
    </w:p>
    <w:p>
      <w:r>
        <w:rPr>
          <w:b/>
        </w:rPr>
        <w:t>E. 6.4</w:t>
      </w:r>
    </w:p>
    <w:p>
      <w:r>
        <w:t>Die Vorinstanz hat die Einwendungen des Versicherten gegen das von der SUVA auf Fr. 76'706.- bemessene Valideneinkommen nicht geprüft. Somit ist der vorinstanzliche Entscheid aufzuheben und die Sache ist an das kantonale Gericht zurückzuweisen, damit es dies nachhole und über die Beschwerde des Versicherten gegen den Einspracheentscheid vom 21. September 2009 vollständig entscheide.</w:t>
      </w:r>
    </w:p>
    <w:p>
      <w:r>
        <w:rPr>
          <w:b/>
        </w:rPr>
        <w:t>E. 7</w:t>
      </w:r>
    </w:p>
    <w:p>
      <w:r>
        <w:t>Als unterliegende Partei hätte bei diesem Ausgang des Verfahrens grundsätzlich der Versicherte die Gerichtskosten zu tragen ( Art. 66 Abs. 1 BGG ). Unnötige Kosten hat indessen zu bezahlen, wer sie verursacht ( Art. 66 Abs. 3 und Art. 68 Abs. 4 BGG ). Dies gestattet, die Gerichtskosten ausnahmsweise der Vorinstanz resp. dem Gemeinwesen, dem diese angehört, aufzuerlegen, namentlich, wenn diese wie hier die Pflicht zur Justizgewährleistung verletzt hat (Urteil 8C_828/2010 vom 14. Juni 2011 E. 3 mit Hinweis; THOMAS GEISER, in: Basler Kommentar, Bundesgerichtsgesetz, 2008, N. 25 zu Art. 66 und N. 18 zu Art. 68 BGG ; SEILER/VON WERTH/GÜNGERICH, Bundesgerichtsgesetz [BGG], 2007, N. 43 zu Art. 66 und N. 32 f. zu Art. 68 BGG ). Die Vorinstanz hat die Sache zur Bestimmung des Invalideneinkommens an die SUVA zurückgewiesen, obwohl selbst bei der Annahme, es könne nicht auf das Anforderungsniveau 3 abgestellt werden, sämtliche Elemente zur Bestimmung der Vergleichseinkommen vorgelegen hätten. Somit führte die Rückweisung einzig zu einer unnötigen Verlängerung des Verfahrens. Es rechtfertigt sich demnach, dem Kanton Basel-Landschaft die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