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8C_91/2019 vom 16. April 2019</w:t>
      </w:r>
    </w:p>
    <w:p>
      <w:r>
        <w:t>Bundesgericht, 2019-04-16, DE</w:t>
      </w:r>
    </w:p>
    <w:p>
      <w:r>
        <w:rPr>
          <w:b/>
        </w:rPr>
        <w:t xml:space="preserve">Quelle: </w:t>
      </w:r>
      <w:r>
        <w:t>https://mcp.opencaselaw.ch/entscheid/bger_8C_91_2019</w:t>
      </w:r>
    </w:p>
    <w:p>
      <w:r>
        <w:t>FR: TF 8C_91/2019 du 16 avril 2019</w:t>
      </w:r>
    </w:p>
    <w:p>
      <w:r>
        <w:t>IT: TF 8C_91/2019 del 16 aprile 2019</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rPr>
          <w:b/>
        </w:rPr>
        <w:t>E. 1.2</w:t>
      </w:r>
    </w:p>
    <w:p>
      <w:r>
        <w:t>Die Beschwerde in öffentlich-rechtlichen Angelegenheiten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 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S. 283 mit Hinweisen; vgl. auch BGE 138 V 271 ).</w:t>
      </w:r>
    </w:p>
    <w:p>
      <w:r>
        <w:rPr>
          <w:b/>
        </w:rPr>
        <w:t>E. 2.1</w:t>
      </w:r>
    </w:p>
    <w:p>
      <w:r>
        <w:t>Der Eintretensgrund von Art. 93 Abs. 1 lit. b BGG fällt hier ohne weiteres ausser Betracht und wird auch nicht geltend gemacht.</w:t>
      </w:r>
    </w:p>
    <w:p>
      <w:r>
        <w:rPr>
          <w:b/>
        </w:rPr>
        <w:t>E. 2.2</w:t>
      </w:r>
    </w:p>
    <w:p>
      <w:r>
        <w:t>Mit Blick auf das in Art. 93 Abs. 1 lit. a BGG festgehaltene Erfordernis des nicht wieder gutzumachenden Nachteils gilt es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S. 285 mit Hinweisen).</w:t>
      </w:r>
    </w:p>
    <w:p>
      <w:r>
        <w:rPr>
          <w:b/>
        </w:rPr>
        <w:t>E. 2.3</w:t>
      </w:r>
    </w:p>
    <w:p>
      <w:r>
        <w:t>Zur Begründung des nicht wieder gutzumachenden Nachteils führt die IV-Stelle einzig an, ein solcher liege vor, indem die Vorinstanz ohne Prüfung der Glaubhaftmachung die angefochtene Verfügung vom 19. Januar 2018 aufhebe und durch einen Eintretensentscheid ersetze. Hierin lässt sich jedoch kein nicht wieder gutzumachenden Nachteil erkennen und es ist auch sonstwie nicht ersichtlich, inwiefern dieses Eintretenserfordernis erfüllt sein soll. Die Beschwerdeführerin wird lediglich angewiesen, auf die Sache einzutreten und das Leistungsbegehren materiell zu behandeln. Der Rückweisungsentscheid enthält keine verbindlichen Anweisungen über die materiellrechtliche Behandlung des Falles (E. 2.2 hievor), weshalb der Beurteilungsspielraum der IV-Stelle nicht eingeschränkt wird (vgl. SVR 2009 IV Nr. 14 S. 35, 9C_898/2007 E. 2.1). Die Eintretensvoraussetzung des nicht wieder gutzumachenden Nachteils gemäss Art. 93 Abs. 1 lit. a BGG ist daher ebenfalls zu verneinen, weshalb auf die Beschwerde der IV-Stelle gegen den kantonalen Entscheid vom 18. Dezember 2018 nicht einzutreten ist.</w:t>
      </w:r>
    </w:p>
    <w:p>
      <w:r>
        <w:rPr>
          <w:b/>
        </w:rPr>
        <w:t>E. 3</w:t>
      </w:r>
    </w:p>
    <w:p>
      <w:r>
        <w:t>Dem Prozessausgang entsprechend sind die Gerichtskosten der Beschwerdeführerin aufzuerlegen ( Art. 66 Abs. 1 BGG ). Diese hat dem Beschwerdegegner überdies eine Parteientschädigung zu entrichten ( Art. 68 Abs. 1 BGG ). Damit wird sein Gesuch um unentgeltliche Prozessführung und Verbeiständung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