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8C_91/2011 vom 11. Mai 2011</w:t>
      </w:r>
    </w:p>
    <w:p>
      <w:r>
        <w:t>Bundesgericht, 2011-05-11, DE</w:t>
      </w:r>
    </w:p>
    <w:p>
      <w:r>
        <w:rPr>
          <w:b/>
        </w:rPr>
        <w:t xml:space="preserve">Quelle: </w:t>
      </w:r>
      <w:r>
        <w:t>https://mcp.opencaselaw.ch/entscheid/bger_8C_91_2011</w:t>
      </w:r>
    </w:p>
    <w:p>
      <w:r>
        <w:t>FR: TF 8C_91/2011 du 11 mai 2011</w:t>
      </w:r>
    </w:p>
    <w:p>
      <w:r>
        <w:t>IT: TF 8C_91/2011 del 11 maggio 2011</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auch wenn diese vor Bundesgericht nicht mehr aufgeworfen werden ( BGE 133 II 249 E. 1.4.1 S. 254).</w:t>
      </w:r>
    </w:p>
    <w:p>
      <w:r>
        <w:rPr>
          <w:b/>
        </w:rPr>
        <w:t>E. 2.1</w:t>
      </w:r>
    </w:p>
    <w:p>
      <w:r>
        <w:t>Die gesetzlichen Grundlagen für die Beurteilung der geltend gemachten Leistungsansprüche und die dazu ergangene Rechtsprechung sind im angefochtenen Entscheid sowohl in materieller als auch in formeller, namentlich beweisrechtlicher Hinsicht richtig dargelegt worden.</w:t>
      </w:r>
    </w:p>
    <w:p>
      <w:r>
        <w:rPr>
          <w:b/>
        </w:rPr>
        <w:t>E. 2.2</w:t>
      </w:r>
    </w:p>
    <w:p>
      <w:r>
        <w:t>Mit der Vorinstanz, auf deren Erwägungen insoweit verwiesen wird, ist zunächst festzuhalten, dass - entgegen der beschwerdeführerischen Meinung - die für eine beim Unfall vom 11. September 2003 zugezogene milde traumatische Hirnverletzung (MTBI) sprechenden Anzeichen nicht auf eine rechtsgenüglich nachgewiesene Gesundheitsschädigung organischer Art schliessen lassen. Ebenso wenig vermögen die mit der Distorsion der Halswirbelsäule zusammenhängenden Befunde, die mittels funktioneller Magnetresonanztomographie (fMRT) - einer wissenschaftlich nicht hinreichend anerkannten und daher für den Nachweis einer Unfallkausalität nicht tauglichen Methode ( BGE 134 V 231 ) - erhoben wurden, eine Organizität zu belegen. In der Beschwerde wird denn auch nicht aufgezeigt, inwiefern die diesbezügliche Auffassung des kantonalen Gerichts rechtswidrig sein sollte oder allenfalls auf unrichtigen Sachverhaltsfeststellungen beruhen würde (vgl. E. 1 hievor).</w:t>
      </w:r>
    </w:p>
    <w:p>
      <w:r>
        <w:rPr>
          <w:b/>
        </w:rPr>
        <w:t>E. 2.3</w:t>
      </w:r>
    </w:p>
    <w:p>
      <w:r>
        <w:t>Liegen keine organisch erklärbaren Beschwerden vor, müssen bei der Beurteilung ihrer Adäquanz - deren natürliche Kausalität ist von der Vorinstanz anerkannt worden, sodass sich die diesbezüglichen Ausführungen in der Beschwerdeschrift erübrigen - nebst dem Unfallgeschehen als solchem weitere unfallbezogene Merkmale mit einbezogen werden. Ob sich das kantonale Gericht dabei mit Recht an die bei Unfällen mit psychischen Folgeschäden massgebende Methode gehalten hat, wie sie in BGE 115 V 133 umschrieben worden ist, oder ob angesichts der erlittenen MTBI und der Tatsache, dass im ärztlichen Institut X.________ keine psychische Erkrankung (mehr) diagnostiziert worden ist (Gutachten zuhanden der Invalidenversicherung vom 23. Juni 2008), nach der Schleudertraumapraxis gemäss BGE 134 V 109 vorzugehen wäre, kann offenbleiben. Auch nach der für die Beschwerdeführerin günstigeren (Schleudertrauma-)Variante liesse sich eine Bejahung der Adäquanz entgegen der beschwerdeführerischen Auffassung nicht rechtfertigen.</w:t>
      </w:r>
    </w:p>
    <w:p>
      <w:r>
        <w:rPr>
          <w:b/>
        </w:rPr>
        <w:t>E. 2.3.1</w:t>
      </w:r>
    </w:p>
    <w:p>
      <w:r>
        <w:t>Die Vorinstanz erachtete keines der ihrer Ansicht nach gemäss Psychopraxis zu prüfenden Adäquanzkriterien als erfüllt, womit - unbestrittenermassen von einem mittelschweren Unfallereignis ausgehend - eine Bejahung der Adäquanz ausser Betracht fiel. Soweit die Adäquanzkriterien nach Schleudertraumapraxis mit denjenigen nach Psychopraxis übereinstimmen, vermögen die Vorbringen der Beschwerdeführerin - welche lediglich ihre eigene (subjektive) Betrachtungsweise derjenigen der Vorinstanz gegenüberstellt, ohne aufzuzeigen, weshalb und inwiefern Letztere gegen Bundesrecht verstossen oder aber auf unrichtigen Feststellungen tatsächlicher Art beruhen sollte (vgl. E. 1 hievor) - ein von der Beurteilung durch das kantonale Gericht abweichendes Ergebnis nicht zu begründen. Es betrifft dies die Kriterien der "besonders dramatischen Begleitumstände oder besonderen Eindrücklichkeit des Unfalls", der "Schwere oder besonderen Art der erlittenen Verletzungen", der "ärztlichen Fehlbehandlung, welche die Unfallfolgen erheblich verschlimmert", und des "schwierigen Heilungsverlaufs und erhebliche Komplikationen". Insoweit ist den vorinstanzlichen Überlegungen seitens des Bundesgerichts auch unter Berücksichtigung der dagegen erhobenen Einwände nichts beizufügen.</w:t>
      </w:r>
    </w:p>
    <w:p>
      <w:r>
        <w:rPr>
          <w:b/>
        </w:rPr>
        <w:t>E. 2.3.2</w:t>
      </w:r>
    </w:p>
    <w:p>
      <w:r>
        <w:t>Von den bei Anwendung der Schleudertraumapraxis massgebenden, in BGE 134 V 109 neu umschriebenen und vom kantonalen Gericht - zufolge Abstellens auf die Psychopraxis - in dieser Form nicht geprüften Kriterien sind diejenigen der "fortgesetzt spezifischen, belastenden ärztlichen Behandlung" und der "erheblichen Beschwerden" nicht erstellt. Auch wenn nach der Schleudertraumapraxis - anders als nach der Psychopraxis - psychische Aspekte nicht ausser Acht zu lassen sind, kann von einer mit einer erheblichen Belastung verbundenen kontinuierlichen ärztlichen Behandlung nicht gesprochen worden, zumal - wie schon die Vorinstanz richtig festgehalten hat - zumindest die durchgeführte ambulante Physiotherapie nicht dazu zu zählen ist. Auch die psychiatrische Behandlung war nicht in einer Intensität erforderlich, welche dieses Erfordernis als erfüllt erscheinen lassen könnte. Nennenswerte physische Beschwerden schliesslich klangen bereits rund ein halbes Jahr nach dem Unfall ab. Von "erheblicher Arbeitsunfähigkeit trotz ausgewiesener Anstrengungen" kann ebenfalls kaum gesprochen werden, nachdem der Beschwerdeführerin nach einer zwei Monate nach ihrem Unfall versuchten, aber missglückten Wiederaufnahme der früheren Arbeit als Assistentin im Versandhandel die Stelle per Ende Mai 2004 gekündigt wurde und sie sich in der Folge voll ihrer im August 2004 aufgenommenen nebenberuflichen Ausbildung zur Betriebswirtschafterin widmete, ohne sich bis im Sommer 2005 um eine neue Anstellung zu bemühen, bei der sich ihre erhalten gebliebenen Kapazitäten mit den damit verbundenen Leistungsmöglichkeiten auch erwerblich hätten verwerten lassen. Selbst wenn die absolvierte Ausbildung im Hinblick auf die damit zumindest langfristig angestrebte Wiedererlangung oder Verbesserung der Erwerbsfähigkeit zur Anerkennung genügend ausgewiesener Anstrengungen ausreichen würde, wäre das Kriterium "erhebliche Arbeitsunfähigkeit trotz ausgewiesener Anstrengungen" - als einziges - zwar erfüllt, dies aber nicht in besonders ausgeprägter Weise. Wie schon das kantonale Gericht - im Sinne einer Alternativbegründung - zutreffend festgehalten hat, wären demnach die Adäquanzkriterien auch nach Schleudertraumapraxis nicht (hinreichend) erfüllt.</w:t>
      </w:r>
    </w:p>
    <w:p>
      <w:r>
        <w:rPr>
          <w:b/>
        </w:rPr>
        <w:t>E. 3.1</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w:t>
      </w:r>
    </w:p>
    <w:p>
      <w:r>
        <w:rPr>
          <w:b/>
        </w:rPr>
        <w:t>E. 3.2</w:t>
      </w:r>
    </w:p>
    <w:p>
      <w:r>
        <w:t>Dem Verfahrensausgang entsprechend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