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8C_91/2007 vom 26. Januar 2008</w:t>
      </w:r>
    </w:p>
    <w:p>
      <w:r>
        <w:t>Bundesgericht, 2008-01-26, FR</w:t>
      </w:r>
    </w:p>
    <w:p>
      <w:r>
        <w:rPr>
          <w:b/>
        </w:rPr>
        <w:t xml:space="preserve">Quelle: </w:t>
      </w:r>
      <w:r>
        <w:t>https://mcp.opencaselaw.ch/entscheid/bger_8C_91_2007</w:t>
      </w:r>
    </w:p>
    <w:p>
      <w:r>
        <w:t>FR: TF 8C_91/2007 du 26 janvier 2008</w:t>
      </w:r>
    </w:p>
    <w:p>
      <w:r>
        <w:t>IT: TF 8C_91/2007 del 26 gennaio 2008</w:t>
      </w:r>
    </w:p>
    <w:p>
      <w:pPr>
        <w:pStyle w:val="Heading2"/>
      </w:pPr>
      <w:r>
        <w:t>Erwägungen</w:t>
      </w:r>
    </w:p>
    <w:p>
      <w:r>
        <w:rPr>
          <w:b/>
        </w:rPr>
        <w:t>E. 1</w:t>
      </w:r>
    </w:p>
    <w:p>
      <w:r>
        <w:t>Le litige porte sur le droit du recourant à des prestations de l'assurance-accidents, au titre de maladie professionnelle, pour les cervico-brachialgies dont il souffre.</w:t>
      </w:r>
    </w:p>
    <w:p>
      <w:r>
        <w:rPr>
          <w:b/>
        </w:rPr>
        <w:t>E. 2.1</w:t>
      </w:r>
    </w:p>
    <w:p>
      <w:r>
        <w:t>Le jugement entrepris expose correctement les dispositions légales ( art. 9 al. 1 et 2 LAA ) ainsi que les principes jurisprudentiels régissant la notion de maladie professionnelle. Il suffit d'y renvoyer.</w:t>
      </w:r>
    </w:p>
    <w:p>
      <w:r>
        <w:rPr>
          <w:b/>
        </w:rPr>
        <w:t>E. 2.2</w:t>
      </w:r>
    </w:p>
    <w:p>
      <w:r>
        <w:t>A juste titre, la juridiction cantonale a examiné le litige dont elle était saisie au regard des conditions posées par l' art. 9 al. 2 LAA , selon lequel sont aussi réputées maladies professionnelles les autres maladies dont il est prouvé qu'elles ont été causées exclusivement ou de manière nettement prépondérante par l'exercice de l'activité profes-sionnelle (clause dite générale) En effet, il est constant que le recourant n'a pas été exposé à des substances nocives ou à certains travaux au sens de l' art. 9 al. 1 LAA .</w:t>
      </w:r>
    </w:p>
    <w:p>
      <w:r>
        <w:rPr>
          <w:b/>
        </w:rPr>
        <w:t>E. 3.1</w:t>
      </w:r>
    </w:p>
    <w:p>
      <w:r>
        <w:t>Se fondant sur la jurisprudence (cf. arrêt du 22 février 2006 [U 48/05], consid. 3.4) et sur l'expertise du 6 avril 2006 de la doctoresse L.________, p. 9), les premiers juges ont retenu qu'il n'existe pas de base épidémiologique permettant d'admettre que les troubles de la colonne cervicale dont souffre le recourant sont quatre fois plus fréquents dans la profession d'employé de bureau que dans les cas enregistrés dans la population en général. Par ailleurs, les premiers juges se sont référés à une lettre du 26 janvier 2006 adressée à l'intimée par le recourant dans laquelle ce dernier a mentionné cinq activités en dehors de son emploi dans lesquelles il est appelé à utiliser un ordinateur (expert aux examens, président d'un syndicat, gestionnaire d'un site informatique, président du conseil général et caissier d'une amicale). Ils ont estimé que ces activités devraient également être prises en compte pour apprécier la relation de causalité entre l'état de santé du recourant et la profession qu'il exerce. Ils ont conclu que les conditions légales auxquelles est subordonné le droit à des prestations en cas de maladie professionnelle n'étaient pas réunies.</w:t>
      </w:r>
    </w:p>
    <w:p>
      <w:r>
        <w:rPr>
          <w:b/>
        </w:rPr>
        <w:t>E. 4</w:t>
      </w:r>
    </w:p>
    <w:p>
      <w:r>
        <w:t>Ce point de vue ne peut être que confirmé. Il ressort en effet sans ambiguïté de l'expertise que les plaintes du recourant ne sont pas causées par l'activité professionnelle mais sont à mettre sur le compte de troubles dégénératifs sévères de la colonne cervicale. Selon la doctoresse L.________, ces altérations radiologiques indiquent une arthrose qui s'est installée sur plusieurs années. En particulier, les troubles dégénératifs étaient déjà présents en octobre 2004 lorsque les conditions de travail de l'assuré se sont modifiées. En conséquence, on ne saurait admettre l'existence d'une relation exclusive ou nettement prépondérante. On rappellera que cette exigence, qui s'apprécie principalement au vu de données épidémiologiques médicalement reconnues, n'est réalisée que si la maladie professionnelle a été causée à 75 % au moins par l'exercice de l'activité professionnelle (119 V 200 consid. 2b p. 201). Cela voudrait dire ici que les cas d'atteintes à la colonne cervicale du recourant devraient être quatre fois plus nombreux chez les employés de bureau que ceux enregistrés dans la population en général. Or, à l'instar de la juridiction cantonale, on doit retenir qu'il n'existe aucune donnée épidémiologique à ce sujet, et pour cause, si bien que la preuve de la causalité qualifiée ne peut de toute manière pas être apportée (voir à ce propos Frésard/Moser-Szeless, L'assurance-accidents obligatoire, in : Schweizerisches Bundesverwaltungsrecht [SBVR], 2ème éd., no 113 ss).</w:t>
      </w:r>
    </w:p>
    <w:p>
      <w:r>
        <w:rPr>
          <w:b/>
        </w:rPr>
        <w:t>E. 5</w:t>
      </w:r>
    </w:p>
    <w:p>
      <w:r>
        <w:t>Les critiques générales que le recourant formule à l'encontre de l'expertise, sans apporter aucun élément contraire (médical ou autre), ne sont pas susceptibles de remettre en cause l'appréciation de la doctoresse L.________, laquelle répond en tous points aux exigences en matière de preuves (cf. ATF 125 V 351 consid. 3a p. 352 et consid. 3b/bb p. 353). Le dossier médical étant suffisamment étayé, il est superflu d'ordonner une nouvelle expertise comme le demande le recourant dans sa conclusion subsidiaire.</w:t>
      </w:r>
    </w:p>
    <w:p>
      <w:r>
        <w:rPr>
          <w:b/>
        </w:rPr>
        <w:t>E. 6</w:t>
      </w:r>
    </w:p>
    <w:p>
      <w:r>
        <w:t>Manifestement mal fondé ( art. 109 al. 2 let. a LTF ), le recours doit être rejeté selon la procédure simplifiée de l' art. 109 LTF , sans qu'il soit nécessaire d'ordonner un échange d'écritures. Le recourant, qui succombe, supportera les frais judiciaires afférents à la présente procédure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