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8C_916/2013 vom 20. März 2014</w:t>
      </w:r>
    </w:p>
    <w:p>
      <w:r>
        <w:t>Bundesgericht, 2014-03-20, DE</w:t>
      </w:r>
    </w:p>
    <w:p>
      <w:r>
        <w:rPr>
          <w:b/>
        </w:rPr>
        <w:t xml:space="preserve">Quelle: </w:t>
      </w:r>
      <w:r>
        <w:t>https://mcp.opencaselaw.ch/entscheid/bger_8C_916_2013</w:t>
      </w:r>
    </w:p>
    <w:p>
      <w:r>
        <w:t>FR: TF 8C_916/2013 du 20 mars 2014</w:t>
      </w:r>
    </w:p>
    <w:p>
      <w:r>
        <w:t>IT: TF 8C_916/2013 del 20 marzo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ist der Anspruch des Versicherten auf eine Kinderrente für seine volljährige Tochter X.________ in den Monaten Februar bis April 2011.</w:t>
      </w:r>
    </w:p>
    <w:p>
      <w:r>
        <w:rPr>
          <w:b/>
        </w:rPr>
        <w:t>E. 3.1</w:t>
      </w:r>
    </w:p>
    <w:p>
      <w:r>
        <w:t>Männer und Frauen, denen eine Invalidenrente zusteht, haben in Anwendung von Art. 35 Abs. 1 IVG für jedes Kind, das im Falle ihres Todes eine Waisenrente der Alters- und Hinterlassenenversicherung beanspruchen könnte, Anspruch auf eine Kinderrente. Anspruch auf eine Waisenrente haben nach Art. 25 Abs. 1 AHVG Kinder, deren Vater oder Mutter gestorben ist. Der Anspruch auf die Waisenrente entsteht gemäss Art. 25 Abs. 4 AHVG am ersten Tag des dem Tode des Vaters oder der Mutter folgenden Monats. Er erlischt mit der Vollendung des 18. Altersjahres oder mit dem Tod der Waise. Für Kinder, die noch in Ausbildung sind, dauert der Rentenanspruch nach Art. 25 Abs. 5 AHVG bis zu deren Abschluss, längstens aber bis zum vollendeten 25. Altersjahr. Der Bundesrat kann festlegen, was als Ausbildung gilt.</w:t>
      </w:r>
    </w:p>
    <w:p>
      <w:r>
        <w:rPr>
          <w:b/>
        </w:rPr>
        <w:t>E. 3.2</w:t>
      </w:r>
    </w:p>
    <w:p>
      <w:r>
        <w:t>In Ausbildung ist ein Kind nach Art. 49bis Abs. 1 AHVV ,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Beendet ist die Ausbildung gemäss Art. 49ter Abs. 1 AHVV mit einem Berufs- oder Schulabschluss. Die Ausbildung gilt in Anwendung von Art. 49ter Abs. 2 AHVV auch als beendet, wenn sie abgebrochen oder unterbrochen wird oder wenn ein Anspruch auf eine Invalidenrente entsteht.</w:t>
      </w:r>
    </w:p>
    <w:p>
      <w:r>
        <w:rPr>
          <w:b/>
        </w:rPr>
        <w:t>E. 3.3</w:t>
      </w:r>
    </w:p>
    <w:p>
      <w:r>
        <w:t>Wird die Ausbildung vorzeitig abgebrochen, gilt sie gemäss Rz. 3368 der Wegleitung des BSV über die Renten (RWL) als beendet. Bis zu einer allfälligen Wiederaufnahme der Ausbildung befindet sich das Kind nicht mehr in Ausbildung. Dies gilt auch für die Zeit zwischen einem Lehrabbruch und Beginn eines neuen Lehrverhältnisses.</w:t>
      </w:r>
    </w:p>
    <w:p>
      <w:r>
        <w:rPr>
          <w:b/>
        </w:rPr>
        <w:t>E. 3.4</w:t>
      </w:r>
    </w:p>
    <w:p>
      <w:r>
        <w:t>Rechtsprechungsgemäss gilt die Zeitspanne zwischen der vorzeitigen Auflösung des alten und der Begründung eines neuen Lehrverhältnisses nicht als rechtserhebliche Unterbrechung der Ausbildung, sofern die Suche nach einer neuen Lehrstelle unverzüglich an die Hand genommen wird ( BGE 102 V 208 E. 3 S. 212 mit Hinweis auf ZAK 1975 S. 375, H 135/74 E. 2).</w:t>
      </w:r>
    </w:p>
    <w:p>
      <w:r>
        <w:rPr>
          <w:b/>
        </w:rPr>
        <w:t>E. 4</w:t>
      </w:r>
    </w:p>
    <w:p>
      <w:r>
        <w:t>Gemäss den grundsätzlich verbindlichen Feststellungen der Vorinstanz kündigte der damalige Lehrmeister der X.________ den Lehrvertrag zur tiermedizinischen Praxisassistentin per 31. Dezember 2010. Diese konnte ihre Lehre mit demselben Berufsziel am 1. Mai 2011 bei einem anderen Lehrmeister fortsetzen. In der Zwischenzeit besuchte sie weiterhin die Berufsschule und die überbetrieblichen Kurse. Es ist somit davon auszugehen, dass sie ihr Lehrziel nie aufgegeben hat; aus dem zeitlichen Ablauf ist weiter zu schliessen, sie habe die Suche nach einer neuen Lehrstelle unverzüglich an die Hand genommen. Gemäss der in E. 3.4 hievor erwähnten Rechtsprechung hat sie somit ihre Ausbildung nicht im Sinne von Art. 49ter Abs. 2 AHVV unterbrochen; es sind auch keine Gründe dargetan worden, auf diese Praxis zurückzukommen. Die Situation, in der sich die Tochter des Beschwerdeführers in den hier streitigen Monaten befand, ist auch weniger mit einem Lehrabbruch, als mit einem Nicht-Bestehen einer Prüfung zu vergleichen. Somit stand sie in den Monaten Februar bis April 2011 in Ausbildung im Sinne von Art. 49bis Abs. 1 AHVV , womit ihr Vater auch für diese Zeit Anspruch auf eine Kinderrente hat. Die Beschwerde ist demgemäss gutzuheissen, und die anderslautende Verfügung der IV-Stelle und der kantonale Gerichtsentscheid sind aufzuheben.</w:t>
      </w:r>
    </w:p>
    <w:p>
      <w:r>
        <w:rPr>
          <w:b/>
        </w:rPr>
        <w:t>E. 5</w:t>
      </w:r>
    </w:p>
    <w:p>
      <w:r>
        <w:t>Dem Prozessausgang entsprechend sind die Gerichtskosten der unterliegenden IV-Stelle aufzuerlegen ( Art. 66 Abs. 1 BGG ). Diese hat dem Beschwerdeführer überdies eine Parteientschädigung zu bezahlen ( Art. 68 Abs. 1 und 2 BGG ; vgl. auch BGE 135 V 473 ). Damit wird sein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