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8C_915/2008 vom 11. September 2009</w:t>
      </w:r>
    </w:p>
    <w:p>
      <w:r>
        <w:t>Bundesgericht, 2009-09-11, DE</w:t>
      </w:r>
    </w:p>
    <w:p>
      <w:r>
        <w:rPr>
          <w:b/>
        </w:rPr>
        <w:t xml:space="preserve">Quelle: </w:t>
      </w:r>
      <w:r>
        <w:t>https://mcp.opencaselaw.ch/entscheid/bger_8C_915_2008</w:t>
      </w:r>
    </w:p>
    <w:p>
      <w:r>
        <w:t>FR: TF 8C_915/2008 du 11 septembre 2009</w:t>
      </w:r>
    </w:p>
    <w:p>
      <w:r>
        <w:t>IT: TF 8C_915/2008 del 11 settembre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135 194 E. 3.4 S. 199). Die Voraussetzungen, unter denen die von der Beschwerdeführerin neu eingereichten Unterlagen ausnahmsweise zulässig wären, sind vorliegend nicht erfüllt, so dass diese unbeachtet bleiben müssen.</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vorerst die Leistungspflicht der Beschwerdegegnerin für die von der Versicherten über den 15. Juni 2005 hinaus anhaltend geklagten Beschwerden.</w:t>
      </w:r>
    </w:p>
    <w:p>
      <w:r>
        <w:rPr>
          <w:b/>
        </w:rPr>
        <w:t>E. 4</w:t>
      </w:r>
    </w:p>
    <w:p>
      <w:r>
        <w:t>Es ist zu Recht unbestritten, dass die über den 15. Juni 2005 hinaus geklagten Beschwerden nicht durch einen im Sinne der Rechtsprechung organisch nachweisbaren Unfallschaden (vgl. dazu das Urteil 8C_806/2007 vom 7. August 2008, E. 8.2 mit zahlreichen Hinweisen) verursacht worden sind. Somit ist die Adäquanz eines Kausalzusammenhanges zwischen dem Ereignis vom 4. Dezember 2001 und den geklagten Beschwerden speziell zu prüfen. Inwieweit die geklagten Beschwerden natürlich kausal durch das Unfallereignis verursacht wurden bzw. wie weit sie auf das vorbestehende Herzleiden zurückzuführen sind, braucht vorliegend entgegen den Ausführungen der Versicherten nicht näher geprüft zu werden, da - wie nachstehende Prüfung zeigt - ein allfälliger natürlicher Kausalzusammenhang nicht adäquat und damit nicht rechtsgenüglich wäre (vgl. etwa die Urteile des Bundesgerichts 8C_80/2009 vom 5. Juni 2009 E. 5 und 8C_698/2008 vom 27. Januar 2009 E. 3).</w:t>
      </w:r>
    </w:p>
    <w:p>
      <w:r>
        <w:rPr>
          <w:b/>
        </w:rPr>
        <w:t>E. 5.1</w:t>
      </w:r>
    </w:p>
    <w:p>
      <w:r>
        <w:t>Die Schwere des Unfalles ist auf Grund des augenfälligen Geschehensablaufs mit den sich dabei entwickelnden Kräften zu beurteilen (SVR 2008 UV Nr. 8 S. 26, U 2/07 E. 5.3.1). Dabei werden einfache Auffahrkollisionen auf ein haltendes Fahrzeug in der Regel als mittelschwerer Unfall im Grenzbereich zu den leichten Unfällen betrachtet (RKUV 2005 Nr. U 549 S. 236, U 380/04 E. 5.1.2). Die Vorinstanz qualifizierte das Ereignis vom 4. Dezember 2001 als einen im engeren Sinne mittelschweren Unfall. Mit Blick auf die durch die Rechtsprechung entwickelten Massstäbe scheidet eine Einordnung im Grenzbereich zu den schweren Unfällen, entgegen der von der Beschwerdeführerin vertretenen Auffassung, klarerweise aus. Autounfälle, die mit vergleichbaren oder jedenfalls nicht mit geringeren Krafteinwirkungen verbunden sind, werden in Übereinstimmung mit der vorinstanzlichen Betrachtungsweise regelmässig dem mittleren Bereich zugeordnet. Zu erwähnen sind etwa Unfälle,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Die Adäquanz eines Kausalzusammenhanges wäre somit nur dann zu bejahen, wenn eines der in BGE 134 V 109 E. 10 S. 126 ff. angeführten Adäquanzkriterien in besonders ausgeprägter oder mehrere dieser Kriterien in gehäufter Weise erfüllt wären.</w:t>
      </w:r>
    </w:p>
    <w:p>
      <w:r>
        <w:rPr>
          <w:b/>
        </w:rPr>
        <w:t>E. 5.2</w:t>
      </w:r>
    </w:p>
    <w:p>
      <w:r>
        <w:t>Die Beschwerdeführerin macht zu Recht nicht geltend, das Kriterium der Schwere oder besonderen Art der erlittenen Verletzungen oder jenes der ärztlichen Fehlbehandlung, welche die Unfallfolgen erheblich verschlimmerten, seien erfüllt.</w:t>
      </w:r>
    </w:p>
    <w:p>
      <w:r>
        <w:rPr>
          <w:b/>
        </w:rPr>
        <w:t>E. 5.3</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oder bei einem in der 29. Woche schwangeren Unfallopfer (Urteil 8C_590/2008 vom 3. Dezember 2008 E. 5.3). Solche oder auch nur bloss ähnliche Umstände lagen beim Ereignis vom 4. Dezember 2001 nicht vor, so dass das Kriterium zu verneinen ist.</w:t>
      </w:r>
    </w:p>
    <w:p>
      <w:r>
        <w:rPr>
          <w:b/>
        </w:rPr>
        <w:t>E. 5.4</w:t>
      </w:r>
    </w:p>
    <w:p>
      <w:r>
        <w:t>Ebenfalls nicht erfüllt ist das Kriterium der fortgesetzten spezifischen und belastenden ärztlichen Behandlung. Zwar musste sich die Beschwerdeführerin im massgebenden Zeitraum wiederholt in stationäre ärztliche Behandlung begeben, diese dienten jedoch - mit Ausnahme eines viertägigen Aufenthaltes in der Klinik R.________ im November 2003 - nicht der Behandlung der Unfallfolgen, sondern waren auf das vorbestehende Herzleiden zurückzuführen.</w:t>
      </w:r>
    </w:p>
    <w:p>
      <w:r>
        <w:rPr>
          <w:b/>
        </w:rPr>
        <w:t>E. 5.5</w:t>
      </w:r>
    </w:p>
    <w:p>
      <w:r>
        <w:t>Die beiden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Solche sind vorliegend nicht ersichtlich; das Kriterium ist demgemäss zu verneinen.</w:t>
      </w:r>
    </w:p>
    <w:p>
      <w:r>
        <w:rPr>
          <w:b/>
        </w:rPr>
        <w:t>E. 5.6</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5.7</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4. Dezember 2001 und den über den 15. Juni 2005 hinaus anhaltend geklagten, organisch nicht im Sinne der Rechtsprechung hinreichend nachweisbaren Beschwerden zu verneinen. Somit war die rückwirkende Leistungseinstellung auf dieses Datum hin rechtens (vgl. auch BGE 133 V 57 ).</w:t>
      </w:r>
    </w:p>
    <w:p>
      <w:r>
        <w:rPr>
          <w:b/>
        </w:rPr>
        <w:t>E. 6</w:t>
      </w:r>
    </w:p>
    <w:p>
      <w:r>
        <w:t>Mit Verfügung vom 14. März 2006 und Einspracheentscheid vom 18. September 2006 forderte die Beschwerdegegnerin auch den Betrag von Fr. 9'841.- für das in der Zeit vom 15. Juni bis 30. November 2005 erbrachte Taggeld zurück. Rechtsprechungsgemäss steht einer Rückforderung von Leistungen, welche über ein rückwirkend festgelegtes Einstellungsdatum hinaus geleistet wurden, unter Umständen der Gesichtspunkt des Vertrauensschutzes entgegen ( BGE 133 V 57 E. 6.8 S. 65; vgl. auch Urteil U 406/06 vom 22. Oktober 2007 E. 4). Die Beschwerdegegnerin hat weder in ihrer Verfügung vom 14. März 2006 noch im Einspracheentscheid vom 18. September 2006 näher begründet, weshalb im vorliegenden Fall eine Rückforderung ausnahmsweise zulässig sein soll. Auch wenn die Observation durch Privatdetektive grundsätzlich zulässig war (vgl. BGE 8C_807/2008 E. 4 und 5), entbindet dies den Versicherungsträger nicht von seiner Pflicht, die Verfügung, mit der den Begehren der Versicherten nicht voll entsprochen wurde, zu begründen (vgl. Art. 49 Abs. 3 ATSG ).</w:t>
      </w:r>
    </w:p>
    <w:p>
      <w:r>
        <w:rPr>
          <w:b/>
        </w:rPr>
        <w:t>E. 7</w:t>
      </w:r>
    </w:p>
    <w:p>
      <w:r>
        <w:t>Zusammenfassend ist die rückwirkende Leistungseinstellung auf den 15. Juni 2005 hin nicht zu beanstanden. Die Beschwerde ist jedoch teilweise gutzuheissen und Einsprache- und kantonaler Gerichtsentscheid sind aufzuheben, soweit damit eine Rückerstattung bereits erbrachter Leistungen angeordnet wurde. Die Sache ist an die Beschwerdegegnerin zurückzuweisen damit diese - insoweit sie an der Rückforderung festhalten will - darüber eine begründete Verfügung erlässt.</w:t>
      </w:r>
    </w:p>
    <w:p>
      <w:r>
        <w:rPr>
          <w:b/>
        </w:rPr>
        <w:t>E. 8</w:t>
      </w:r>
    </w:p>
    <w:p>
      <w:r>
        <w:t>Entsprechend dem Verfahrensausgang sind die Gerichtskosten den Parteien je zur Hälfte aufzuerlegen ( Art. 66 Abs. 1 BGG ). Die Beschwerdegegnerin hat der Beschwerdeführerin überdies eine reduzierte Parteientschädigung zu entrichten ( Art. 68 Abs. 1 BGG ). Dem Gesuch der Versicherten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