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910/2014 vom 20. März 2015</w:t>
      </w:r>
    </w:p>
    <w:p>
      <w:r>
        <w:t>Bundesgericht, 2015-03-20, DE</w:t>
      </w:r>
    </w:p>
    <w:p>
      <w:r>
        <w:rPr>
          <w:b/>
        </w:rPr>
        <w:t xml:space="preserve">Quelle: </w:t>
      </w:r>
      <w:r>
        <w:t>https://mcp.opencaselaw.ch/entscheid/bger_8C_910_2014</w:t>
      </w:r>
    </w:p>
    <w:p>
      <w:r>
        <w:t>FR: TF 8C 910/2014 du 20 mars 2015</w:t>
      </w:r>
    </w:p>
    <w:p>
      <w:r>
        <w:t>IT: TF 8C 910/2014 del 20 marzo 2015</w:t>
      </w:r>
    </w:p>
    <w:p>
      <w:pPr>
        <w:pStyle w:val="Heading2"/>
      </w:pPr>
      <w:r>
        <w:t>Regeste</w:t>
      </w:r>
    </w:p>
    <w:p>
      <w:r>
        <w:t>Öffentliches Personalrecht (kantonales Recht; Aufhebung der Stelle) | Öffentliches Dienstverhältnis</w:t>
      </w:r>
    </w:p>
    <w:p>
      <w:pPr>
        <w:pStyle w:val="Heading2"/>
      </w:pPr>
      <w:r>
        <w:t>Erwägungen</w:t>
      </w:r>
    </w:p>
    <w:p>
      <w:r>
        <w:rPr>
          <w:b/>
        </w:rPr>
        <w:t>E. 1</w:t>
      </w:r>
    </w:p>
    <w:p>
      <w:r>
        <w:t>Anfechtungsobjekt bildet der Entscheid des Verwaltungsgerichts über die Rechtmässigkeit der von der Einwohnergemeinde der Stadt Olten gestützt auf Art. 13 des kommunalen Personalreglements (kurz: PR/Olten) gegenüber dem Beschwerdeführer mit Verfügung vom 24. März 2014 ausgesprochenen Beendigung des Arbeitsverhältnisses auf Ende Juni 2014. Es handelt sich dabei um eine vermögensrechtliche Streitigkeit ( Art. 82 lit. a und Art. 83 lit. g BGG ) mit einem Streitwert über Fr. 15'000.- (Art. 85 Abs. 1 lit. b in Verbindung mit Art. 51 BGG ). Da auch die weiteren Eintretensvoraussetzungen erfüllt sind, kann die Beschwerde in öffentlich-rechtlichen Angelegenheiten einer materiellen Beurteilung zugeführt werden.</w:t>
      </w:r>
    </w:p>
    <w:p>
      <w:r>
        <w:rPr>
          <w:b/>
        </w:rPr>
        <w:t>E. 2</w:t>
      </w:r>
    </w:p>
    <w:p>
      <w:r>
        <w:t>Die Beschwerde in öffentlich-rechtlichen Angelegenheiten kann wegen Rechtsverletzung gemäss Art. 95 f. BGG erhoben werden. Die Anwendung des kantonalen oder kommunalen Rechts als solchem bildet nicht Beschwerdegrund. Überprüft werden kann insoweit nur, ob der angefochtene Entscheid auf willkürlicher Gesetzesanwendung beruht oder ob das Gesetz oder seine Anwendung sonst wie gegen übergeordnetes Recht verstossen ( BGE 137 V 57 E. 1.3 S. 60; s. auch 138 I 225 E. 3.1 und 3.2 S. 227 f.; je mit Hinweisen). Rügen betreffend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3</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4.2.5 ; 138 I 49 E. 7.1 S. 51 und 305 E. 4.3 S. 319; 138 IV 13 E. 5.1 S. 22; 138 V 74 E. 7; je mit Hinweisen).</w:t>
      </w:r>
    </w:p>
    <w:p>
      <w:r>
        <w:rPr>
          <w:b/>
        </w:rPr>
        <w:t>E. 4</w:t>
      </w:r>
    </w:p>
    <w:p>
      <w:r>
        <w:t>In Härtefällen kann der Stadtrat eine angemessene Übergangslösung bewilligen.</w:t>
      </w:r>
    </w:p>
    <w:p>
      <w:r>
        <w:rPr>
          <w:b/>
        </w:rPr>
        <w:t>E. 5</w:t>
      </w:r>
    </w:p>
    <w:p>
      <w:r>
        <w:t>Vor Vorinstanz stand die Frage im Streit, ob die in Art. 12a PR/Olten vorgesehene Sperrfrist auch bei Beendigung des Arbeitsverhältnisses wegen Wegfalls der Stelle nach Art. 13 PR/Olten Geltung habe.</w:t>
      </w:r>
    </w:p>
    <w:p>
      <w:r>
        <w:rPr>
          <w:b/>
        </w:rPr>
        <w:t>E. 5.1</w:t>
      </w:r>
    </w:p>
    <w:p>
      <w:r>
        <w:t>Das kantonale Gericht führte dazu mit Verweis auf BGE 124 II 53 E. 5 (recte: E. 2, insbesondere 2b/bb) aus, anders als bei einem privatrechtlichen Arbeitsverhältnis, für welches die in Art. 336c OR in Verbindung mit Art. 362 OR vorgesehenen Sperrfristen zwingend anwendbar seien, könne der Gesetzgeber bei öffentlich-rechtlichen Anstellungsverhältnissen auf den Kündigungsschutz durch Sperrfristen verzichten. Aus der Systematik des Gesetzes, das die Kündigung zur Unzeit (Art. 12a PR/Olten) unmittelbar nach der ordentlichen Kündigung (Art. 12 PR/Olten) und vor der Auflösung wegen Aufhebung der Stelle (Art. 13 PR/Olten) regle, werde deutlich, dass für die öffentlich-rechtlich Angestellten der Stadt Olten die Sperrfristenregelung nur dann zur Anwendung gelangen soll, wenn der Arbeitgeber das Arbeitsverhältnis ordentlich kündigt; dieser gesetzgeberische Wille werde auch durch die Wortwahl in den Gesetzesbestimmungen verdeutlicht; so werde bei der Aufhebung der Stelle gerade nicht von einer Kündigung gesprochen, sondern vom Dahinfallen des Anstellungsverhältnisses.</w:t>
      </w:r>
    </w:p>
    <w:p>
      <w:r>
        <w:rPr>
          <w:b/>
        </w:rPr>
        <w:t>E. 5.2</w:t>
      </w:r>
    </w:p>
    <w:p>
      <w:r>
        <w:t>Was an dieser Auslegung willkürlich sein soll, ist nicht einsichtig. Sie ist nachvollziehbar begründet. Dass Angestellten beim Dahinfallen ihrer Stelle im Krankheitsfall nicht derselbe Schutz zukommt, wie wenn ihre Stelle zwar aufrechterhalten, ihnen aber aus anderen Gründen gekündigt wird, mag zwar diskutabel, nicht aber unvertretbar erscheinen (E. 3 in fine hiervor). Es lässt sich durchaus rechtfertigen, dem Arbeitgeber insoweit einen gewissen Handlungsspielraum zuzugestehen. Er hat zwar die Aufhebung einer Stelle (ungeachtet der Anstellungsdauer) mindestens ein halbes Jahr im Voraus anzuzeigen und zugleich nach Möglichkeit eine gleichwertige Funktion anzubieten, muss aber den Kündigungsschutz nach Art. 12a PR/Olten nicht weiter beachten. Zumindest kann nicht von einem sachlich schlechthin nicht nachvollziehbaren Lösungsansatz gesprochen werden. Ob eine Stelle notwendig oder verzichtbar ist, soll nicht anhand von in der Person des Stelleninhabers liegenden Gründen, sondern nach dem Bedarf an der Dienstleistung zu Gunsten der öffentlichen Hand beantwortet werden. Falls dadurch ein Härtefall entsteht, sieht Art. 13 Abs. 4 PR/Olten die Möglichkeit einer Übergangslösung vor.</w:t>
      </w:r>
    </w:p>
    <w:p>
      <w:r>
        <w:rPr>
          <w:b/>
        </w:rPr>
        <w:t>E. 5.3</w:t>
      </w:r>
    </w:p>
    <w:p>
      <w:r>
        <w:t>Steht fest, dass die vorinstanzliche Auffassung, das kommunale Recht schliesse den Kündigungsschutz nach Art. 12a PR/Olten für jene Fälle aus, in denen das Arbeitsverhältnis wegen Aufhebung der Stelle beendigt werde, letztinstanzlich nicht zu beanstanden ist, erweisen sich die Vorbringen des Beschwerdeführers als nicht zielführend. Ob es bei der Aufhebung der Stelle neben der Aufhebungserklärung zusätzlich zwingend einer (ebenfalls [?] anfechtbaren) Kündigungsverfügung bedarf, wie vom Beschwerdeführer gefordert, braucht nicht beantwortet werden, lag doch vorliegend eine solche mit der Verfügung vom 24. März 2014 vor. Daraus einen Kündigungsschutz nach Art. 12a PV/Olten ableiten zu wollen, geht aber fehl. Da gegen die Verfügung der Rechtsweg offen stand, ist auch nicht einsichtig, inwiefern eine Verletzung der Rechtsweggarantie gemäss Art. 29a BV vorliegen soll.</w:t>
      </w:r>
    </w:p>
    <w:p>
      <w:r>
        <w:rPr>
          <w:b/>
        </w:rPr>
        <w:t>E. 6</w:t>
      </w:r>
    </w:p>
    <w:p>
      <w:r>
        <w:t>Bei diesem Ausgang sind die Gerichtskosten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