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910/2011 vom 27. Juli 2012</w:t>
      </w:r>
    </w:p>
    <w:p>
      <w:r>
        <w:t>Bundesgericht, 2012-07-27, FR</w:t>
      </w:r>
    </w:p>
    <w:p>
      <w:r>
        <w:rPr>
          <w:b/>
        </w:rPr>
        <w:t xml:space="preserve">Quelle: </w:t>
      </w:r>
      <w:r>
        <w:t>https://mcp.opencaselaw.ch/entscheid/bger_8C_910_2011</w:t>
      </w:r>
    </w:p>
    <w:p>
      <w:r>
        <w:t>FR: TF 8C 910/2011 du 27 juillet 2012</w:t>
      </w:r>
    </w:p>
    <w:p>
      <w:r>
        <w:t>IT: TF 8C 910/2011 del 27 luglio 2012</w:t>
      </w:r>
    </w:p>
    <w:p>
      <w:pPr>
        <w:pStyle w:val="Heading2"/>
      </w:pPr>
      <w:r>
        <w:t>Regeste</w:t>
      </w:r>
    </w:p>
    <w:p>
      <w:r>
        <w:t>conflit de travail | Droit des contrats</w:t>
      </w:r>
    </w:p>
    <w:p>
      <w:pPr>
        <w:pStyle w:val="Heading2"/>
      </w:pPr>
      <w:r>
        <w:t>Erwägungen</w:t>
      </w:r>
    </w:p>
    <w:p>
      <w:r>
        <w:rPr>
          <w:b/>
        </w:rPr>
        <w:t>E. 1</w:t>
      </w:r>
    </w:p>
    <w:p>
      <w:r>
        <w:t>Comme cela ressort du jugement attaqué, les rapports de travail du recourant étaient soumis à la loi sur le personnel de l'Etat de Vaud du 12 novembre 2001 (LPers-VD; RS/VD 172.31), dans sa teneur en vigueur jusqu'au 31 décembre 2010. La présente cause est donc une contestation pécuniaire en matière de rapports de travail de droit public, qui ne tombe pas sous le coup de l'exception de l' art. 83 let . g LTF. Conformément à ce que prescrit l' art. 112 al. 1 let . d LTF, la Chambre des recours a mentionné la valeur litigieuse, laquelle dépasse largement le seuil requis de 15'000 fr. ( art. 85 al. 1 let. b LTF ). Il convient dès lors d'examiner les griefs soulevés par le recourant sous l'angle du recours en matière de droit public, nonobstant l'intitulé erroné du présent recours ( ATF 134 III 379 consid. 1.2 p. 382). La voie du recours en matière de droit public étant ouverte, celle du recours constitutionnel subsidiaire ne l'est pas ( art. 113 LTF ). Le recours a par ailleurs été introduit en temps utile ( art. 100 al. 1 LTF ) et dans les formes requises (art. 42 al. 1 à 3 LTF).</w:t>
      </w:r>
    </w:p>
    <w:p>
      <w:r>
        <w:rPr>
          <w:b/>
        </w:rPr>
        <w:t>E. 2</w:t>
      </w:r>
    </w:p>
    <w:p>
      <w:r>
        <w:t>Invoquant une constatation manifestement inexacte des faits, le recourant fait grief à la juridiction cantonale d'avoir retenu "un état de fait tendancieux, strictement relatif aux comportements professionnels du recourant et omis de façon insoutenable de tenir compte des nombreux éléments de faits témoignant du contexte gravement dysfonctionnel dans lequel le recourant a dû oeuvrer et qui, sur bien d'autres collègues que lui, a conduit au désastre". En particulier, les divers moyens de preuve se trouvant au dossier (expertise du docteur I.________ de 1998, audit de X.________ de 2000, rapport du groupe Impact de 2005 et les nombreux témoignages) auraient dû conduire les premiers juges à établir, parallèlement aux griefs reprochés au recourant, un tableau du contexte institutionnel dans lequel ce dernier était contraint d'évoluer.</w:t>
      </w:r>
    </w:p>
    <w:p>
      <w:r>
        <w:rPr>
          <w:b/>
        </w:rPr>
        <w:t>E. 2.1</w:t>
      </w:r>
    </w:p>
    <w:p>
      <w:r>
        <w:t>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ATF 137 I 58 consid. 4.1.2 p. 62; 136 II 304 consid. 2.4 p. 314; 134 V 53 consid. 4.3 p. 62)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(cf. ATF 133 II 249 consid. 1.4.3 p. 254 s.).</w:t>
      </w:r>
    </w:p>
    <w:p>
      <w:r>
        <w:rPr>
          <w:b/>
        </w:rPr>
        <w:t>E. 2.2</w:t>
      </w:r>
    </w:p>
    <w:p>
      <w:r>
        <w:t>En l'espèce, le recourant développe de manière très générale sa propre appréciation des multiples aspects du litige qui l'oppose depuis des années à son employeur. Il mentionne divers moyens de preuve se trouvant au dossier qui auraient dû, selon lui, conduire les premiers juges à mieux cerner le contexte dans lequel il a exercé son activité professionnelle, mais n'expose pas précisément quels sont les faits qui auraient été établis de manière manifestement inexacte par l'autorité intimée, ni l'influence qu'ils auraient pu exercer sur le sort du litige ( art. 97 LTF ). L'argumentation présentée dans l'écriture de recours ne répond donc pas sur ce point aux exigences de motivation déduites de l' art. 42 al. 2 LTF . Dans ces conditions, il n'y a pas lieu de s'écarter des faits retenus dans la décision attaquée.</w:t>
      </w:r>
    </w:p>
    <w:p>
      <w:r>
        <w:rPr>
          <w:b/>
        </w:rPr>
        <w:t>E. 3</w:t>
      </w:r>
    </w:p>
    <w:p>
      <w:r>
        <w:t>Sur le fond, le recourant se plaint d'une application arbitraire de l' art. 57 al. 1 LPers -VD, aux termes duquel le contrat de travail prend automatiquement fin dès le jour précédent le droit à une prestation d'invalidité totale et définitive. Il critique le raisonnement des premiers juges selon lequel il ne pourrait faire valoir de prétentions à l'encontre de son ancien employeur sur la base de l' art. 337c al. 1 et 3 CO - applicables à titre de droit cantonal supplétif en vertu du renvoi de l' art. 61 al. 2 LPers -VD -, dès lors que son contrat de travail aurait pris fin, de par la loi, antérieurement à la résiliation litigieuse des rapports de service. Selon le recourant, une telle argumentation violerait les principes de l'égalité de traitement, de la bonne foi et de la sécurité du droit.</w:t>
      </w:r>
    </w:p>
    <w:p>
      <w:r>
        <w:rPr>
          <w:b/>
        </w:rPr>
        <w:t>E. 3.1</w:t>
      </w:r>
    </w:p>
    <w:p>
      <w:r>
        <w:t>Le Tribunal fédéral ne revoit l'interprétation et l'application du droit cantonal que sous l'angle restreint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 Le recourant doit ainsi indiquer précisément quelle disposition constitutionnelle ou légale a été violée et démontrer par une argumentation précise en quoi consiste la violation. En outre,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w:t>
      </w:r>
    </w:p>
    <w:p>
      <w:r>
        <w:rPr>
          <w:b/>
        </w:rPr>
        <w:t>E. 3.2</w:t>
      </w:r>
    </w:p>
    <w:p>
      <w:r>
        <w:t>En l'espèce, le recourant ne démontre pas, de manière conforme aux exigences de motivation de l' art. 106 al. 2 LTF , en quoi l'interprétation de l' art. 57 al. 1 LPers -VD par les premiers juges violerait les principes constitutionnels invoqués. Quoi qu'il en soit, il n'est pas arbitraire de considérer que l'invalidité totale et définitive s'oppose objectivement à la continuation des rapports de travail, de sorte que le congé donné à un employé postérieurement à la date à laquelle il a été reconnu entièrement invalide est nul. Cette réglementation a par ailleurs toute sa raison d'être puisqu'elle consacre le principe selon lequel un employé ne saurait prétendre simultanément à un droit au salaire et à des prestations d'invalidité, à tout le moins lorsque celle-ci est totale et définitive. Par conséquent, l'arrêt attaqué ne consacre aucune application arbitraire du droit cantonal.</w:t>
      </w:r>
    </w:p>
    <w:p>
      <w:r>
        <w:rPr>
          <w:b/>
        </w:rPr>
        <w:t>E. 4.1</w:t>
      </w:r>
    </w:p>
    <w:p>
      <w:r>
        <w:t>Selon le recourant, il serait par ailleurs "profondément choquant" que les juges cantonaux aient admis le principe d'une indemnité pour tort moral en raison d'une violation de ses droits de la personnalité et rejeté, dans le même temps, ses prétentions en dommages-intérêts (perte de salaire et perte sur pension). Il soutient que la juridiction cantonale a versé dans l'arbitraire en niant l'existence d'un lien de causalité entre les manquements de l'employeur et le dommage allégué.</w:t>
      </w:r>
    </w:p>
    <w:p>
      <w:r>
        <w:rPr>
          <w:b/>
        </w:rPr>
        <w:t>E. 4.2</w:t>
      </w:r>
    </w:p>
    <w:p>
      <w:r>
        <w:t>Le recourant n'explique pas, conformément aux exigences de motivation de l' art. 42 al. 2 LTF , le fondement juridique de ses prétentions pour perte de salaire et perte de rente. Les premiers juges ont estimé que quel que soit le fondement juridique de ces prétentions ( art. 41, 97 ou 328 CO ), l'employeur ne répondait des atteintes causées à la santé de son employé que s'il existait un lien de causalité naturelle et adéquate entre les manquements de l'employeur et le dommage invoqué, ce qu'ils ont nié en l'espèce. Déterminer s'il existe un rapport de causalité naturelle entre la violation des droits de la personnalité du recourant et la perte de gain liée à une incapacité de travail totale est une question de fait ( ATF 133 III 462 consid. 4.4.2 p. 470; 132 III 715 consid. 2.2 p. 718), de sorte que les constatations de la cour cantonale y relatives lient le Tribunal fédéral, qui ne peut s'en écarter que si elles ont été établies de façon manifestement inexacte ou en violation du droit. Tel n'est pas le cas en l'espèce. Les constatations de la juridiction cantonale selon lesquelles le lien de causalité entre les violations des droits de la personnalité du recourant et le dommage allégué n'est pas établi n'apparaissent pas arbitraires. Elles reposent sur les conclusions de l'expertise du docteur U.________, dont il ressort que si les conditions de travail ont contribué de manière limitée aux troubles psychiques du recourant, elles ne peuvent expliquer l'importance et la durée de ceux-ci. En outre, la maladie principalement invalidante qui a conduit à l'octroi d'une rente est le cancer du rectum dont a souffert le recourant, le trouble dépressif récurrent étant considéré comme une affection additionnelle. Ces constatations suffisent à entraîner le rejet des prétentions invoquées, quel que puisse être leur fondement.</w:t>
      </w:r>
    </w:p>
    <w:p>
      <w:r>
        <w:rPr>
          <w:b/>
        </w:rPr>
        <w:t>E. 5</w:t>
      </w:r>
    </w:p>
    <w:p>
      <w:r>
        <w:t>Le recourant conteste encore la quotité de l'indemnité pour tort moral qui lui a été allouée, par 12'000 fr.</w:t>
      </w:r>
    </w:p>
    <w:p>
      <w:r>
        <w:rPr>
          <w:b/>
        </w:rPr>
        <w:t>E. 5.1</w:t>
      </w:r>
    </w:p>
    <w:p>
      <w:r>
        <w:t>Le travailleur qui subit, du fait de son employeur, une atteinte à sa personnalité protégée par l' art. 328 al. 1 CO , peut prétendre à une indemnité pour tort moral aux conditions fixées par l' art. 49 al. 1 CO (cf. art. 99 al. 3 CO ). L' art. 328 CO n'est pas applicable comme tel aux rapports de droit public entre un fonctionnaire cantonal et l'Etat ( art. 342 al. 1 CO ). Les dispositions du code des obligations seront tout au plus applicables par analogie, en cas de lacune dans les dispositions de droit public. Comme en droit privé cependant, l'Etat a le devoir de protéger ses agents pour leur permettre d'exercer leurs fonctions; il doit notamment éviter qu'ils ne subissent une atteinte illicite à leur personnalité, au sens des art. 28 ss CC (cf. arrêt 2C.2/2000 du 4 avril 2003 consid. 2.3). L' art. 5 al. 3 LPers -VD prévoit à cet égard que le Conseil d'Etat prend les mesures nécessaires à la protection de la santé et de la personnalité des collaborateurs, en particulier par des dispositions de lutte contre le harcèlement et le mobbing. Comme la LPers-VD ne contient pas de dispositions particulières concernant l'évaluation du tort moral, il convient de s'inspirer des principes tirés de l' art. 49 CO , appliqués à titre de droit cantonal supplétif (cf. notamment les arrêts 6B_434/2008 du 29 octobre 2008 consid. 4.1 et 4C.145/1994 du 12 février 2002 consid. 5a), dont l'application ne peut être revue que sous l'angle de l'arbitraire ( art. 95 LTF ).</w:t>
      </w:r>
    </w:p>
    <w:p>
      <w:r>
        <w:rPr>
          <w:b/>
        </w:rPr>
        <w:t>E. 5.2</w:t>
      </w:r>
    </w:p>
    <w:p>
      <w:r>
        <w:t>En l'espèce, les premiers juges ont considéré que l'autorité précédente avait insuffisamment pris en compte la gravité des agissements de l'employeur, à savoir le fait que le recourant avait été écarté de son activité professionnelle par sa hiérarchie sans qu'une procédure d'avertissement n'ait été mise en oeuvre, qu'il s'est vu interdire de reprendre son activité à l'issue d'une absence pour raisons de santé ainsi que le manque de clarté et d'encadrement et des difficultés relationnelles non réglées. Aussi, la cour cantonale a-t-elle porté l'indemnité pour tort moral de 5'000 fr. à 12'000 fr.</w:t>
      </w:r>
    </w:p>
    <w:p>
      <w:r>
        <w:rPr>
          <w:b/>
        </w:rPr>
        <w:t>E. 5.3</w:t>
      </w:r>
    </w:p>
    <w:p>
      <w:r>
        <w:t>En matière civile et à titre de comparaison, on relèvera que le Tribunal fédéral a considéré que le versement d'un montant de 25'000 fr. à une femme ayant été harcelée pendant près d'une année, ce qui lui avait causé d'importants troubles psychiques, entraînant une invalidité et une incapacité totale de travailler, constituait la limite supérieure admissible (arrêt 4C.343/2003 du 13 octobre 2004 consid. 8.2). A l'autre extrême, une somme de 5'000 fr. allouée à une employée harcelée sexuellement par son supérieur, qui avait été atteinte dans sa santé et plongée dans des états d'anxiété et de dépression, a été admise (arrêt 4C.310/1998 du 8 janvier 1999, publié in SJ 1999 I p. 277 consid. 4b et c). Entre ces deux limites, le Tribunal fédéral a confirmé une indemnité pour tort moral de 12'000 fr. allouée à une jeune fille mineure qui s'était vu imposer des conditions de travail inacceptables, proches de l'esclavage durant 13 mois (arrêt 4C.94/2003 du 23 avril 2004 consid. 5.3 et 5.4).</w:t>
      </w:r>
    </w:p>
    <w:p>
      <w:r>
        <w:rPr>
          <w:b/>
        </w:rPr>
        <w:t>E. 5.4</w:t>
      </w:r>
    </w:p>
    <w:p>
      <w:r>
        <w:t>Dans ces circonstances, il n'apparaît pas qu'en fixant l'indemnité pour tort moral à 12'000 fr., les premiers juges aient fait une application arbitraire des principes tirés de l' art. 49 CO .</w:t>
      </w:r>
    </w:p>
    <w:p>
      <w:r>
        <w:rPr>
          <w:b/>
        </w:rPr>
        <w:t>E. 6</w:t>
      </w:r>
    </w:p>
    <w:p>
      <w:r>
        <w:t>Il s'ensuit que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