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8C_90/2014 vom 19. Dezember 2014</w:t>
      </w:r>
    </w:p>
    <w:p>
      <w:r>
        <w:t>Bundesgericht, 2014-12-19, FR</w:t>
      </w:r>
    </w:p>
    <w:p>
      <w:r>
        <w:rPr>
          <w:b/>
        </w:rPr>
        <w:t xml:space="preserve">Quelle: </w:t>
      </w:r>
      <w:r>
        <w:t>https://mcp.opencaselaw.ch/entscheid/bger_8C_90_2014</w:t>
      </w:r>
    </w:p>
    <w:p>
      <w:r>
        <w:t>FR: TF 8C_90/2014 du 19 décembre 2014</w:t>
      </w:r>
    </w:p>
    <w:p>
      <w:r>
        <w:t>IT: TF 8C_90/2014 del 19 dicembre 2014</w:t>
      </w:r>
    </w:p>
    <w:p>
      <w:pPr>
        <w:pStyle w:val="Heading2"/>
      </w:pPr>
      <w:r>
        <w:t>Erwägungen</w:t>
      </w:r>
    </w:p>
    <w:p>
      <w:r>
        <w:rPr>
          <w:b/>
        </w:rPr>
        <w:t>E. 1</w:t>
      </w:r>
    </w:p>
    <w:p>
      <w:r>
        <w:t>Invoquant les art. 70 al. 1 Cst. et 33a de la loi fédérale sur la procédure administrative (PA; RS 172.021), le recourant reproche tout d'abord aux premiers juges de ne pas lui avoir reconnu le droit à la traduction en français d'un rapport médical rédigé en allemand. Il fait valoir que le refus de traduire un document essentiel, rédigé dans une autre langue que celle de la procédure viole non seulement la liberté de la langue mais aussi son droit à un procès équitable.</w:t>
      </w:r>
    </w:p>
    <w:p>
      <w:r>
        <w:rPr>
          <w:b/>
        </w:rPr>
        <w:t>E. 2.1</w:t>
      </w:r>
    </w:p>
    <w:p>
      <w:r>
        <w:t>Dans un arrêt rendu le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 ATF 127 V 219 consid. 2b/bb p. 226). Dans un arrêt du 27 février 2002, publié aux ATF 128 V 34 , le Tribunal fédéral des assurances a jugé qu'au regard de la territorialité de la langue ( art. 70 al. 2 Cst. ), il était parfaitement admissible que la juridiction cantonale de recours exige de l'office AI une traduction d'un rapport d'expertise du COMAI (rédigé en italien) dans la langue officielle du canton de Genève - en l'occurrence la langue française - ce, d'autant plus qu'il s'agissait d'une pièce essentielle du dossier, de nature à sceller le sort de la procédure.</w:t>
      </w:r>
    </w:p>
    <w:p>
      <w:r>
        <w:rPr>
          <w:b/>
        </w:rPr>
        <w:t>E. 2.2</w:t>
      </w:r>
    </w:p>
    <w:p>
      <w:r>
        <w:t>Il y a lieu d'appliquer ces principes par analogie aux rapports établis par la division Médecine des assurances de la CNA. En effet, ces rapports généralement très détaillés et contenant souvent des références à la doctrine médicale, jouent un rôle important dans l'instruction des faits d'ordre médical. Bien qu'ils n'aient pas la même valeur probante qu'une expertise réalisée par un médecin indépendant selon la procédure de l' art. 44 LPGA et encore moins qu'une expertise judiciaire, ces rapports sont pris en compte par les tribunaux tant qu'il n'existe pas de doutes suffisants quant à la fiabilité et la pertinence de leurs conclusions ( ATF 135 V 465 ).</w:t>
      </w:r>
    </w:p>
    <w:p>
      <w:r>
        <w:rPr>
          <w:b/>
        </w:rPr>
        <w:t>E. 2.3</w:t>
      </w:r>
    </w:p>
    <w:p>
      <w:r>
        <w:t>Cette solution s'impose également au regard de l' art. 70 al. 1 Cst. , lequel règle la question des langues officielles, c'est-à-dire des langues qui sont utilisées dans les relations - au moins de droit public - entre les autorités étatiques et les particuliers. Il s'agit des langues dans lesquelles l'autorité s'adresse à ses administrés et exerce ses activités; c'est, du point de vue des particuliers, l'aspect passif de la réglementation des langues officielles ( PASCAL MAHON, in: Aubert/Mahon, Petit commentaire de la Constitution fédérale de la Confédération suisse du 18 avril 1999, 2003, n° 2 ad art. 70). Concrètement, les particuliers ont le droit, dans leurs relations avec l'Etat fédéral, de recevoir une réponse dans la langue qu'ils ont utilisée. A cet égard, le Tribunal fédéral a eu l'occasion de préciser que lorsqu'une procédure oppose un justiciable à une autorité fédérale, on peut exiger de cette dernière qu'elle utilise la langue de la procédure ( ATF 130 I 234 consid. 3.5 p. 238s.; voir aussi PETER UEBERSAX, in Niggli/Uebersax/Wiprächtiger [éd.], Basler Kommentar zum Bundesgerichtsgesetz, 2</w:t>
      </w:r>
    </w:p>
    <w:p>
      <w:r>
        <w:t>e éd., 2011, n° 20 ad art. 54 BGG). Il n'en va pas autrement lorsqu'un office fédéral - sans être partie à la procédure - est appelé à fournir un préavis, que ce soit en sa qualité d'autorité de surveillance de l'autorité administrative impliquée ou en sa qualité d'autorité invitée à fournir des renseignements au Tribunal fédéral. Le respect des différences linguistiques et culturelles commande qu'il s'exprime dans la langue de la procédure ou du moins dans la langue des parties. Cette réglementation vaut aussi pour les organismes ou institutions à caractère national chargés par le droit fédéral de l'exécution de tâches de droit public (par exemple la Caisse nationale suisse d'assurance en cas d'accidents [CNA]) ou les autres assureurs admis à pratiquer l'assurance-accidents obligatoire ( JEAN-MAURICE FRÉSARD, in Commentaire de la LTF, 2</w:t>
      </w:r>
    </w:p>
    <w:p>
      <w:r>
        <w:t>e éd., 2014, n° 11s. ad art. 54 LTF ). En application de ces principes également, on pouvait donc exiger de la CNA qu'elle fasse traduire le rapport du docteur B.________ comme l'a demandé le recourant.</w:t>
      </w:r>
    </w:p>
    <w:p>
      <w:r>
        <w:rPr>
          <w:b/>
        </w:rPr>
        <w:t>E. 2.4</w:t>
      </w:r>
    </w:p>
    <w:p>
      <w:r>
        <w:t>On ne saurait au demeurant, comme l'ont fait les premiers juges, minimiser la portée du rapport du docteur B.________. Ce dernier a été demandé par la CNA avant qu'elle ne rende sa décision sur opposition, en raison de doutes subsistant au sujet de la situation médicale du recourant (cf. lettre de la CNA adressée au recourant le 29 mars 2013 l'informant de la mise en oeuvre d'un nouvel avis médical auprès de sa division Médecine des assurances). Cette pièce a ainsi été déterminante pour la suppression du droit aux prestations du recourant. Dans cette mesure, elle constituait sans aucun doute une pièce essentielle du dossier, pour laquelle une traduction en langue française était nécessaire.</w:t>
      </w:r>
    </w:p>
    <w:p>
      <w:r>
        <w:rPr>
          <w:b/>
        </w:rPr>
        <w:t>E. 2.5</w:t>
      </w:r>
    </w:p>
    <w:p>
      <w:r>
        <w:t>Le grief soulevé par le recourant est bien fondé. Il convient en conséquence d'annuler le jugement attaqué ainsi que la décision sur opposition du 15 septembre 2011 et d'inviter l'intimée à faire parvenir au recourant une traduction en français du rapport du docteur B.________. La CNA reprendra ensuite l'instruction de la cause au fond, après avoir donné au recourant l'occasion de s'exprimer sur le contenu de ce rapport médical. Il n'y a pas lieu à ce stade d'examiner les autres griefs invoqués par le recourant.</w:t>
      </w:r>
    </w:p>
    <w:p>
      <w:r>
        <w:rPr>
          <w:b/>
        </w:rPr>
        <w:t>E. 3</w:t>
      </w:r>
    </w:p>
    <w:p>
      <w:r>
        <w:t>L'intimée qui succombe supportera les frais judiciaires ( art. 66 al. 1 LTF ). Le recourant a droit, d'autre part,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