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903/2011 vom 14. August 2012</w:t>
      </w:r>
    </w:p>
    <w:p>
      <w:r>
        <w:t>Bundesgericht, 2012-08-14, FR</w:t>
      </w:r>
    </w:p>
    <w:p>
      <w:r>
        <w:rPr>
          <w:b/>
        </w:rPr>
        <w:t xml:space="preserve">Quelle: </w:t>
      </w:r>
      <w:r>
        <w:t>https://mcp.opencaselaw.ch/entscheid/bger_8C_903_2011</w:t>
      </w:r>
    </w:p>
    <w:p>
      <w:r>
        <w:t>FR: TF 8C 903/2011 du 14 août 2012</w:t>
      </w:r>
    </w:p>
    <w:p>
      <w:r>
        <w:t>IT: TF 8C 903/2011 del 14 agosto 2012</w:t>
      </w:r>
    </w:p>
    <w:p>
      <w:pPr>
        <w:pStyle w:val="Heading2"/>
      </w:pPr>
      <w:r>
        <w:t>Regeste</w:t>
      </w:r>
    </w:p>
    <w:p>
      <w:r>
        <w:t>Allocation familiale, (versement à l'étranger) | Allocation familiale dans l'agriculture</w:t>
      </w:r>
    </w:p>
    <w:p>
      <w:pPr>
        <w:pStyle w:val="Heading2"/>
      </w:pPr>
      <w:r>
        <w:t>Erwägungen</w:t>
      </w:r>
    </w:p>
    <w:p>
      <w:r>
        <w:rPr>
          <w:b/>
        </w:rPr>
        <w:t>E. 1</w:t>
      </w:r>
    </w:p>
    <w:p>
      <w:r>
        <w:t>Le recours est dirigé contre un jugement final (cf. art. 90 LTF ) rendu dans une cause de droit public (cf. art. 82 let. a LTF ) par un tribunal supérieur statuant en dernière instance cantonale (cf. art. 86 al. 1 let . d et al. 2 LTF). Il a été déposé dans le délai (cf. art. 100 al. 1 LTF ) et contient - contrairement à ce que suggère l'intimé - une motivation suffisante (cf. art. 42 LTF ). Il est formé par une partie légitimée à recourir ( art. 89 al. 2 let . d LTF en corrélation avec l'art. 19 al. 1 de l'ordonnance du 31 octobre 2007 sur les allocations familiales [OAFam; RS 836.21] et l' art. 62 al. 1bis LPGA ). Le recours est donc recevable.</w:t>
      </w:r>
    </w:p>
    <w:p>
      <w:r>
        <w:rPr>
          <w:b/>
        </w:rPr>
        <w:t>E. 2</w:t>
      </w:r>
    </w:p>
    <w:p>
      <w:r>
        <w:t>La recourante s'en prend uniquement au jugement attaqué en tant que celui-ci reconnaît à l'intimé le droit à une allocation familiale pour sa fille. Elle ne remet pas en cause l'octroi par les premiers juges d'une indemnité de dépens (cf. ATF 130 V 570 consid. 2.3 p. 573) pour la procédure d'opposition pour le cas où son recours serait rejeté.</w:t>
      </w:r>
    </w:p>
    <w:p>
      <w:r>
        <w:rPr>
          <w:b/>
        </w:rPr>
        <w:t>E. 3.1</w:t>
      </w:r>
    </w:p>
    <w:p>
      <w:r>
        <w:t>Selon l'art. 19 al. 1 de la loi fédérale sur les allocations familiales (LAFam) du 24 mars 2006 (RS 836.2),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Conformément à l' art. 19 al. 2 LAFam , le droit aux allocations familiales n'est accordé que si le revenu imposable est égal ou inférieur à une fois et demie le montant d'une rente de vieillesse complète maximale de l'AVS et qu'aucune prestation complémentaire à l'AVS/AI n'est perçue. Cette règle est concrétisée dans la législation fribourgeoise à l'art. 22 al. 1 de la loi cantonale sur les allocations familiales (LAFC/FR; RSF 836.1), selon lequel les allocations familiales pour personnes sans activité lucrative sont accordées aux personnes dont le revenu n'atteint pas les limites de l' art. 19 al. 2 LAFam .</w:t>
      </w:r>
    </w:p>
    <w:p>
      <w:r>
        <w:rPr>
          <w:b/>
        </w:rPr>
        <w:t>E. 3.2</w:t>
      </w:r>
    </w:p>
    <w:p>
      <w:r>
        <w:t>L'allocation familiale comprend l'allocation pour enfant et l'allocation de formation professionnelle qui est octroyée au plus tard, en cas de formation, jusqu'à l'âge de 25 ans ( art. 3 al. 1 LAFam ; voir aussi l'art. 17 LAFC/FR).</w:t>
      </w:r>
    </w:p>
    <w:p>
      <w:r>
        <w:rPr>
          <w:b/>
        </w:rPr>
        <w:t>E. 3.3</w:t>
      </w:r>
    </w:p>
    <w:p>
      <w:r>
        <w:t>Selon l' art. 4 al. 3 LAFam , le Conseil fédéral détermine les conditions d'octroi des allocations pour enfant vivant à l'étranger (1ère phrase). En exécution de ce mandat, le Conseil fédéral a adopté l' art. 7 OAFam dont l'alinéa 1, dans sa version en vigueur jusqu'au 31 décembre 2011, prévoyait ceci: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c. que l'enfant n'ait pas atteint l'âge de 16 ans. C'est sur la base de cette disposition que la caisse de compensation a refusé d'accorder à l'intimé une allocation pour sa fille à l'étranger, attendu que son droit à l'allocation n'est pas fondé sur l'exercice d'une activité lucrative ( art. 7 al. 1 let. b OAFam ).</w:t>
      </w:r>
    </w:p>
    <w:p>
      <w:r>
        <w:rPr>
          <w:b/>
        </w:rPr>
        <w:t>E. 4</w:t>
      </w:r>
    </w:p>
    <w:p>
      <w:r>
        <w:t>Le Tribunal fédéral a récemment jugé qu'en soumettant l'octroi d'allocations familiales pour les enfants domiciliés dans un Etat étranger à la condition que celui-ci ait conclu avec la Suisse, sur ce point, une convention en matière de sécurité sociale, l' art. 7 al. 1 OAFam restait dans les limites de l' art. 4 al. 3 LAFam et ne violait pas l' art. 8 al. 1 et 2 Cst. ( ATF 136 I 297 ).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font obstacle à l'application de cette disposition de l'ordonnance.</w:t>
      </w:r>
    </w:p>
    <w:p>
      <w:r>
        <w:rPr>
          <w:b/>
        </w:rPr>
        <w:t>E. 4.1.1</w:t>
      </w:r>
    </w:p>
    <w:p>
      <w:r>
        <w:t>Selon l' art. 1er par. 1 annexe II 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w:t>
      </w:r>
    </w:p>
    <w:p>
      <w:r>
        <w:rPr>
          <w:b/>
        </w:rPr>
        <w:t>E. 4.1.2</w:t>
      </w:r>
    </w:p>
    <w:p>
      <w:r>
        <w:t>Une décision no 1/2012 du Comité mixte du 31 mars 2012 (RO 2012 2345) a actualisé le contenu de l'annexe II précitée avec effet au 1er avril 2012 en prévoyant, en particulier, que les Parties appliqueraient désormais entre elles le Règlement (CE) no 883/2004 du Parlement européen et du Conseil du 29 avril 2004 portant sur la coordination des systèmes de sécurité sociale, modifié par le règlement (CE) no 987/2009 du Parlement européen et du Conseil du 16 septembre 2009.</w:t>
      </w:r>
    </w:p>
    <w:p>
      <w:r>
        <w:rPr>
          <w:b/>
        </w:rPr>
        <w:t>E. 4.1.3</w:t>
      </w:r>
    </w:p>
    <w:p>
      <w:r>
        <w:t>Le règlement no 883/2004 (RS 0.831.109.268.1) - qui a remplacé le règlement no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l'égard de l'intimé à partir du 1er avril 2012 (cf. ATF 128 V 315 consid. 1 p. 316 ss). Le litige doit donc être tranché au regard du règlement no 1408/71, alors applicable.</w:t>
      </w:r>
    </w:p>
    <w:p>
      <w:r>
        <w:rPr>
          <w:b/>
        </w:rPr>
        <w:t>E. 4.2.1</w:t>
      </w:r>
    </w:p>
    <w:p>
      <w:r>
        <w:t>Sous le titre "Travailleurs salariés ou non salariés dont les membres de la famille résident dans un Etat membre autre que l'Etat compétent", l'art. 73 du règlement no 1408/71 est ainsi libellé: "Le travailleur salarié ou non salarié soumis à la législation d'un Etat membre a droit, pour les membres de sa famille qui résident sur le territoire d'un autre Etat membre, aux prestations familiales prévues par la législation du premier Etat, comme s'ils résidaient sur le territoire de celui-ci, sous réserve des dispositions de l'annexe VI" (non pertinentes en l'espèce). Le règlement no 1408/71 s'applique, en particulier, aux travailleurs salariés ou non salariés qui sont ou ont été soumis à la législation d'un ou de plusieurs Etats membres et qui sont ressortissants de l'un des Etats membres (art. 2 par. 1). L'art. 1er let. a du règlement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 art. 16 ALCP - la notion de "travailleur" qui ouvre l'accès aux droits prévus par le règlement est une notion large. Une personne a la qualité de travailleur au sens du règlement no 1408/71 dès lors qu'elle est assurée, ne serait-ce que contre un seul risque, au titre d'une assurance obligatoire ou facultative auprès d'un régime général ou particulier de sécurité sociale mentionné à l'art. 1er sous a du même règlement, et ce indépendamment de l'existence d'une relation de travail (arrêts de la CJCE du 10 mars 2011, Tanja Borger, C-516/09, non encore publié, point 26, du 7 juin 2005, Dodl et Oberhollenzer, C-543/03, Rec. p. I-5049, point 34, du 12 mai 1998, Martinez Sala, C-85/96, Rec. p.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à leur égard (arrêt du 31 mai 1979, Pierik, 182/78, Rec. p. 1977; FRANCIS KESSLER/JEAN-PHILIPPE LHERNOULD, Code annoté européen de la protection sociale, 3ème édition, Paris 2005, p. 62; PRODROMOS MAVRIDIS, La sécurité sociale à l'épreuve de l'intégration européenne: étude d'une confrontation entre libertés du marché et droits fondamentaux, 2003, p. 286 no 2.3.2). La jurisprudence fédérale se réfère à cette conception large ( ATF 138 V 197 consid. 4.2 p. 201; 134 V 236 consid. 5.2.3 p. 244; 130 V 247 consid. 4.1 p. 250 s.; voir également 133 V 265 consid. 4.2.3 p. 270). Elle a toutefois précisé que la simple affiliation à l'AVS/AI suisse en tant que personne sans activité lucrative domiciliée en Suisse ne fonde pas la qualité de travailleur, au sens du règlement n° 1408/71, d'une personne qui n'a jamais exercé d'activité lucrative ( ATF 134 V 236 consid. 5.3.3, p. 245; voir aussi SILVIA BUCHER, Die sozialrechtliche Rechtsprechung des Bundesgerichts zum FZA und zu Anhang K des EFTA-Übereinkommen [Teil 1], RSAS 2007 p. 308 ss, p. 317 ss). En l'espèce, l'intimé, ressortissant d'un Etat tiers, qui a exercé une activité professionnelle en Suisse et qui, en sa qualité de travailleur, a été mis au bénéfice d'une rente à raison d'un accident professionnel (cf. art. 4 par. 1 let . e du règlement no 1408/71) entre dans le champ d'application personnel de ce dernier. Il doit par conséquent, être considéré comme un travailleur salarié.</w:t>
      </w:r>
    </w:p>
    <w:p>
      <w:r>
        <w:rPr>
          <w:b/>
        </w:rPr>
        <w:t>E. 4.3.1</w:t>
      </w:r>
    </w:p>
    <w:p>
      <w:r>
        <w:t>Le champ d'application matériel du règlement no 1408/71 est déterminé à l'art. 4 dudit règlement. De manière générale, une prestation peut être considérée comme une prestation de sécurité sociale au sens de ces dispositions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(arrêt de la CJCE du 5 mars 1998, Molenaar, C-160/96, Rec. 1998 p. I-843, point 20). Savoir si une prestation entre dans le champ d'application de l'art. 4 par. 1 du règlement ne dépend pas de la qualification qui est donnée par le droit interne, mais se détermine sur la base des dispositions communautaires qui définissent les éléments constitutifs desdites prestations (arrêt de la CJCE du 10 janvier 1980, Jordens-Vorsters, 69/79, Rec. 1980 p. 75, points 6 ss; ATF 132 V 184 consid. 5.1.1 p. 190).</w:t>
      </w:r>
    </w:p>
    <w:p>
      <w:r>
        <w:rPr>
          <w:b/>
        </w:rPr>
        <w:t>E. 4.3.2</w:t>
      </w:r>
    </w:p>
    <w:p>
      <w:r>
        <w:t>Selon son art. 4 par. 1 let . h, le règlement s'applique aux prestations familiales. D'après l' art. 1er let . u point i du règlement, le terme "prestations familiales" désigne toutes les prestations en nature ou en espèces destinées à compenser les charges de famille dans le cadre d'une législation prévue à l' art. 4 par. 1 let . h. A ce propos, la CJCE a jugé que les prestations familiales sont destinées à aider socialement les travailleurs ayant charge de famille en faisant participer la collectivité à ces charges (voir l'arrêt du 4 juillet 1985, Kromhout, 104/84, Rec. 1985 p. 2205, point 14). Ainsi la Cour a considéré qu'une allocation d'éducation visant à permettre à l'un des parents de se consacrer à l'éducation d'un jeune enfant et, plus précisément, à rétribuer l'éducation dispensée à l'enfant, à compenser les autres frais de garde et d'éducation et, le cas échéant, à atténuer les désavantages financiers qu'implique la renonciation à un revenu d'activité à plein temps avait pour objectif de compenser les charges de famille au sens de l' art. 1er let . u point i du règlement (arrêt de la CJCE Hoever et Zachow, du 10 octobre 1996, C-245/94 et C-312/94, Rec. 1996 p. I-4895, point 25). Il s'ensuit que l'expression "compenser les charges de famille" doit être interprétée en ce sens qu'elle vise, notamment, une contribution publique au budget familial destinée à alléger les charges découlant de l'entretien des enfants (arrêt de la CJCE du 15 mars 2001, Offermanns, C-85/99, Rec. 2001 p. I-2261, point 41; voir également, pour une casuistique, BETTINA KAHIL-WOLFF, La coordination européenne des systèmes nationaux de sécurité sociale, in: Soziale Sicherheit, SBVR, 2007, p. 210 no 93). Sont en revanche exclues de la notion de prestations familiales les allocations spéciales de naissance ou d'adoption ( art. 1er let . u point i; voir en ce qui concerne la Suisse, section A point 1 let. f annexe II ALCP).</w:t>
      </w:r>
    </w:p>
    <w:p>
      <w:r>
        <w:rPr>
          <w:b/>
        </w:rPr>
        <w:t>E. 4.3.3</w:t>
      </w:r>
    </w:p>
    <w:p>
      <w:r>
        <w:t>L'art. 4 LAFC/FR définit de la même manière les allocations familiales ("Les allocations familiales sont des prestations sociales en espèces, uniques ou périodiques, destinées à compenser partiellement la charge financière représentée par un ou plusieurs enfants"). S'agissant des allocations familiales pour personnes sans activité lucrative, elles sont accordées aux personnes dont le revenu n'atteint pas les limites de l' art. 19 al. 2 LAFam (art. 22 al. 1 LAFC/FR). De par leur but et leurs conditions d'octroi, ces prestations constituent des allocations familiales qui entrent dans le champ d'application matériel du règlement no 1408/71.</w:t>
      </w:r>
    </w:p>
    <w:p>
      <w:r>
        <w:rPr>
          <w:b/>
        </w:rPr>
        <w:t>E. 4.4</w:t>
      </w:r>
    </w:p>
    <w:p>
      <w:r>
        <w:t>Dans ces conditions, on doit admettre que l'intimé a droit - sous réserve d'autres conditions non examinées ici - aux allocations familiales pour sa fille résidant au Portugal, conformément à l'art. 73 du règlement no 1408/71. L' art. 7 al. 1 let. b OAFam ne lui est donc pas opposable. On notera d'ailleurs à ce propos que les conditions posées à l'art. 7 al. 1 let. a à d OAFam ont été supprimées dans la nouvelle version de ce même article (modification du 26 octobre 2011, entrée en vigueur pour ce qui est de l'art. 7, le 1er janvier 2012; RO 2011 4951). Selon le commentaire du Département fédéral de l'intérieur relatif à cette modification, cette suppression a été précisément motivée par le fait que les conventions internationales existantes excluent les restrictions visées à l'alinéa 1 let. a à d, de telle sorte que celles-ci ne trouvaient pas à s'appliquer dans la pratique et étaient pour cette raison source de malentendus (ce commentaire peut être consulté sur le site de l'OFAS www.ofas.admin.ch sous Thèmes, Famille/allocations familiales, Allocations familiales, Révision de lois et autres projets concernant les allocations familiales, La révision de la LAFam et sa mise en oeuvre).</w:t>
      </w:r>
    </w:p>
    <w:p>
      <w:r>
        <w:rPr>
          <w:b/>
        </w:rPr>
        <w:t>E. 5</w:t>
      </w:r>
    </w:p>
    <w:p>
      <w:r>
        <w:t>Le recours est ainsi mal fondé. Les frais judiciaires sont mis à la charge de la caisse qui succombe ( art. 66 al. 1 LTF ). Celle-ci versera en outre une indemnité de dépens à l'intimé, conformément à la liste de dépens déposée par son mandataire, majorée à 1'800 fr. pour tenir compte des opérations subséquentes à son dépôt.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